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27" w:rsidRPr="0002419B" w:rsidRDefault="001A6027" w:rsidP="001A6027">
      <w:pPr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0241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140832" wp14:editId="4D8B4266">
            <wp:extent cx="5895975" cy="1209675"/>
            <wp:effectExtent l="0" t="0" r="9525" b="9525"/>
            <wp:docPr id="3" name="Picture 3" descr="epl_blank_ukr_164_3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pl_blank_ukr_164_34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FB" w:rsidRPr="0002419B" w:rsidRDefault="001A6027" w:rsidP="00BF1368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ab/>
      </w:r>
      <w:r w:rsidR="00BF1368" w:rsidRPr="0002419B">
        <w:rPr>
          <w:rFonts w:ascii="Arial" w:hAnsi="Arial" w:cs="Arial"/>
          <w:b/>
          <w:bCs/>
          <w:sz w:val="22"/>
          <w:szCs w:val="22"/>
          <w:lang w:val="uk-UA" w:eastAsia="uk-UA"/>
        </w:rPr>
        <w:t>ГУ ДФС в Івано-Франківській області</w:t>
      </w:r>
    </w:p>
    <w:p w:rsidR="00BF1368" w:rsidRPr="0002419B" w:rsidRDefault="00BF1368" w:rsidP="00BF1368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  <w:r w:rsidRPr="0002419B">
        <w:rPr>
          <w:rFonts w:ascii="Arial" w:hAnsi="Arial" w:cs="Arial"/>
          <w:bCs/>
          <w:sz w:val="22"/>
          <w:szCs w:val="22"/>
          <w:lang w:val="uk-UA" w:eastAsia="uk-UA"/>
        </w:rPr>
        <w:t>Вул. Незалежності, 20, м. Івано-Франківськ, 76018</w:t>
      </w:r>
    </w:p>
    <w:p w:rsidR="00BF1368" w:rsidRPr="0002419B" w:rsidRDefault="00BF1368" w:rsidP="00BF1368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</w:p>
    <w:p w:rsidR="00BF1368" w:rsidRPr="0002419B" w:rsidRDefault="00BF1368" w:rsidP="00BF1368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 w:rsidRPr="0002419B">
        <w:rPr>
          <w:rFonts w:ascii="Arial" w:hAnsi="Arial" w:cs="Arial"/>
          <w:b/>
          <w:bCs/>
          <w:sz w:val="22"/>
          <w:szCs w:val="22"/>
          <w:lang w:val="uk-UA" w:eastAsia="uk-UA"/>
        </w:rPr>
        <w:t>ДЕІ у Франківській області</w:t>
      </w:r>
    </w:p>
    <w:p w:rsidR="00BF1368" w:rsidRPr="0002419B" w:rsidRDefault="00BF1368" w:rsidP="00BF1368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  <w:r w:rsidRPr="0002419B">
        <w:rPr>
          <w:rFonts w:ascii="Arial" w:hAnsi="Arial" w:cs="Arial"/>
          <w:bCs/>
          <w:sz w:val="22"/>
          <w:szCs w:val="22"/>
          <w:lang w:val="uk-UA" w:eastAsia="uk-UA"/>
        </w:rPr>
        <w:t>Вул. Сахарова, 23а, м. Івано-Франківськ, 76014</w:t>
      </w:r>
    </w:p>
    <w:p w:rsidR="00BF1368" w:rsidRPr="0002419B" w:rsidRDefault="00BF1368" w:rsidP="00BF1368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</w:p>
    <w:p w:rsidR="00BF1368" w:rsidRPr="0002419B" w:rsidRDefault="00BF1368" w:rsidP="00BF1368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 w:rsidRPr="0002419B">
        <w:rPr>
          <w:rFonts w:ascii="Arial" w:hAnsi="Arial" w:cs="Arial"/>
          <w:b/>
          <w:bCs/>
          <w:sz w:val="22"/>
          <w:szCs w:val="22"/>
          <w:lang w:val="uk-UA" w:eastAsia="uk-UA"/>
        </w:rPr>
        <w:t>Управління екології та природних ресурсів Івано-Франківської ОДА</w:t>
      </w:r>
    </w:p>
    <w:p w:rsidR="00BF1368" w:rsidRPr="0002419B" w:rsidRDefault="004237A3" w:rsidP="00BF1368">
      <w:pPr>
        <w:tabs>
          <w:tab w:val="left" w:pos="4140"/>
        </w:tabs>
        <w:jc w:val="right"/>
        <w:rPr>
          <w:rFonts w:ascii="Arial" w:hAnsi="Arial" w:cs="Arial"/>
          <w:bCs/>
          <w:sz w:val="22"/>
          <w:szCs w:val="22"/>
          <w:lang w:val="uk-UA" w:eastAsia="uk-UA"/>
        </w:rPr>
      </w:pPr>
      <w:r w:rsidRPr="0002419B">
        <w:rPr>
          <w:rFonts w:ascii="Arial" w:hAnsi="Arial" w:cs="Arial"/>
          <w:bCs/>
          <w:sz w:val="22"/>
          <w:szCs w:val="22"/>
          <w:lang w:val="uk-UA" w:eastAsia="uk-UA"/>
        </w:rPr>
        <w:t>Вул. Сахарова, 23а, м. Івано-Франківськ, 76018</w:t>
      </w:r>
    </w:p>
    <w:p w:rsidR="00BF1368" w:rsidRPr="0002419B" w:rsidRDefault="00BF1368" w:rsidP="00BF1368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</w:p>
    <w:p w:rsidR="001A6027" w:rsidRPr="0002419B" w:rsidRDefault="001959B4" w:rsidP="001A6027">
      <w:pPr>
        <w:jc w:val="center"/>
        <w:rPr>
          <w:rFonts w:ascii="Arial" w:hAnsi="Arial" w:cs="Arial"/>
          <w:b/>
          <w:sz w:val="22"/>
          <w:szCs w:val="22"/>
          <w:lang w:val="uk-UA" w:eastAsia="uk-UA"/>
        </w:rPr>
      </w:pPr>
      <w:r w:rsidRPr="0002419B"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uk-UA"/>
        </w:rPr>
        <w:t>Скарга</w:t>
      </w:r>
    </w:p>
    <w:p w:rsidR="001A6027" w:rsidRPr="0002419B" w:rsidRDefault="001A6027" w:rsidP="001A6027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>Міжнародна благодійна організація «Екологія-Право-Людина» відповідно до своїх статутних завдань здійснює захист екологічних прав фізичних та юридичних осіб, захист довкілля, сприяє розвитку природоохоронної справи та розвитку екологічної освіти, науки та культури.</w:t>
      </w:r>
    </w:p>
    <w:p w:rsidR="001A6027" w:rsidRPr="0002419B" w:rsidRDefault="000D2EFA" w:rsidP="001A6027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ab/>
        <w:t>Нами з’ясовано, що свинофермі ТзОВ “Даноша”</w:t>
      </w:r>
      <w:r w:rsidR="009E1254" w:rsidRPr="0002419B">
        <w:rPr>
          <w:rFonts w:ascii="Arial" w:hAnsi="Arial" w:cs="Arial"/>
          <w:sz w:val="22"/>
          <w:szCs w:val="22"/>
          <w:lang w:val="uk-UA"/>
        </w:rPr>
        <w:t xml:space="preserve"> в селі Лука,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</w:t>
      </w:r>
      <w:r w:rsidR="00FF6EE3" w:rsidRPr="0002419B">
        <w:rPr>
          <w:rFonts w:ascii="Arial" w:hAnsi="Arial" w:cs="Arial"/>
          <w:sz w:val="22"/>
          <w:szCs w:val="22"/>
          <w:lang w:val="uk-UA"/>
        </w:rPr>
        <w:t>Управлінням</w:t>
      </w:r>
      <w:r w:rsidR="0051642B" w:rsidRPr="0002419B">
        <w:rPr>
          <w:rFonts w:ascii="Arial" w:hAnsi="Arial" w:cs="Arial"/>
          <w:sz w:val="22"/>
          <w:szCs w:val="22"/>
          <w:lang w:val="uk-UA"/>
        </w:rPr>
        <w:t xml:space="preserve"> екології та природних ресурсів </w:t>
      </w:r>
      <w:r w:rsidRPr="0002419B">
        <w:rPr>
          <w:rFonts w:ascii="Arial" w:hAnsi="Arial" w:cs="Arial"/>
          <w:sz w:val="22"/>
          <w:szCs w:val="22"/>
          <w:lang w:val="uk-UA"/>
        </w:rPr>
        <w:t>Івано-Франківської ОДА було видано</w:t>
      </w:r>
      <w:r w:rsidR="009E1254" w:rsidRPr="0002419B">
        <w:rPr>
          <w:rFonts w:ascii="Arial" w:hAnsi="Arial" w:cs="Arial"/>
          <w:sz w:val="22"/>
          <w:szCs w:val="22"/>
          <w:lang w:val="uk-UA"/>
        </w:rPr>
        <w:t xml:space="preserve"> дозвіл на викиди № 2622883601-9 від 30.01.2014 р. року</w:t>
      </w:r>
      <w:r w:rsidR="0051642B" w:rsidRPr="0002419B">
        <w:rPr>
          <w:rFonts w:ascii="Arial" w:hAnsi="Arial" w:cs="Arial"/>
          <w:sz w:val="22"/>
          <w:szCs w:val="22"/>
          <w:lang w:val="uk-UA"/>
        </w:rPr>
        <w:t xml:space="preserve"> (Додаток 1)</w:t>
      </w:r>
      <w:r w:rsidR="009E1254" w:rsidRPr="0002419B">
        <w:rPr>
          <w:rFonts w:ascii="Arial" w:hAnsi="Arial" w:cs="Arial"/>
          <w:sz w:val="22"/>
          <w:szCs w:val="22"/>
          <w:lang w:val="uk-UA"/>
        </w:rPr>
        <w:t xml:space="preserve"> терміном дії до 30.01.2019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року. </w:t>
      </w:r>
    </w:p>
    <w:p w:rsidR="00456837" w:rsidRPr="006C75A9" w:rsidRDefault="00BD3661" w:rsidP="00825A32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ab/>
        <w:t>Опрацювавши документи, на підставі яких видавався дозвіл на викиди</w:t>
      </w:r>
      <w:r w:rsidR="0051642B" w:rsidRPr="0002419B">
        <w:rPr>
          <w:rFonts w:ascii="Arial" w:hAnsi="Arial" w:cs="Arial"/>
          <w:sz w:val="22"/>
          <w:szCs w:val="22"/>
          <w:lang w:val="uk-UA"/>
        </w:rPr>
        <w:t xml:space="preserve"> (Додаток 2)</w:t>
      </w:r>
      <w:r w:rsidR="009E1254" w:rsidRPr="0002419B">
        <w:rPr>
          <w:rFonts w:ascii="Arial" w:hAnsi="Arial" w:cs="Arial"/>
          <w:sz w:val="22"/>
          <w:szCs w:val="22"/>
          <w:lang w:val="uk-UA"/>
        </w:rPr>
        <w:t>, н</w:t>
      </w:r>
      <w:r w:rsidR="00825A32" w:rsidRPr="0002419B">
        <w:rPr>
          <w:rFonts w:ascii="Arial" w:hAnsi="Arial" w:cs="Arial"/>
          <w:sz w:val="22"/>
          <w:szCs w:val="22"/>
          <w:lang w:val="uk-UA"/>
        </w:rPr>
        <w:t>ами встановлено наявність</w:t>
      </w:r>
      <w:r w:rsidR="009E1254" w:rsidRPr="0002419B">
        <w:rPr>
          <w:rFonts w:ascii="Arial" w:hAnsi="Arial" w:cs="Arial"/>
          <w:sz w:val="22"/>
          <w:szCs w:val="22"/>
          <w:lang w:val="uk-UA"/>
        </w:rPr>
        <w:t xml:space="preserve"> недостовірних відомостей, які призвели до заниження реальних викидів забруднюючих р</w:t>
      </w:r>
      <w:r w:rsidR="00825A32" w:rsidRPr="0002419B">
        <w:rPr>
          <w:rFonts w:ascii="Arial" w:hAnsi="Arial" w:cs="Arial"/>
          <w:sz w:val="22"/>
          <w:szCs w:val="22"/>
          <w:lang w:val="uk-UA"/>
        </w:rPr>
        <w:t>ечовин від свиноферми, а відтак до несплати в повному обсязі екологічного податку, зокрема</w:t>
      </w:r>
      <w:r w:rsidR="008874EA" w:rsidRPr="0002419B">
        <w:rPr>
          <w:rFonts w:ascii="Arial" w:hAnsi="Arial" w:cs="Arial"/>
          <w:sz w:val="22"/>
          <w:szCs w:val="22"/>
          <w:lang w:val="uk-UA"/>
        </w:rPr>
        <w:t>:</w:t>
      </w:r>
      <w:r w:rsidR="009E125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ab/>
      </w:r>
      <w:r w:rsidR="009E1254" w:rsidRPr="0002419B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9E1254" w:rsidRPr="0002419B" w:rsidRDefault="00825A32" w:rsidP="009E1254">
      <w:pPr>
        <w:jc w:val="both"/>
        <w:rPr>
          <w:rFonts w:ascii="Arial" w:hAnsi="Arial" w:cs="Arial"/>
          <w:i/>
          <w:color w:val="000000"/>
          <w:sz w:val="22"/>
          <w:szCs w:val="22"/>
          <w:lang w:val="uk-UA"/>
        </w:rPr>
      </w:pPr>
      <w:r w:rsidRPr="0002419B">
        <w:rPr>
          <w:rFonts w:ascii="Arial" w:hAnsi="Arial" w:cs="Arial"/>
          <w:i/>
          <w:color w:val="000000"/>
          <w:sz w:val="22"/>
          <w:szCs w:val="22"/>
          <w:lang w:val="uk-UA"/>
        </w:rPr>
        <w:t>1</w:t>
      </w:r>
      <w:r w:rsidR="009E1254" w:rsidRPr="0002419B">
        <w:rPr>
          <w:rFonts w:ascii="Arial" w:hAnsi="Arial" w:cs="Arial"/>
          <w:i/>
          <w:color w:val="000000"/>
          <w:sz w:val="22"/>
          <w:szCs w:val="22"/>
          <w:lang w:val="uk-UA"/>
        </w:rPr>
        <w:t>) Занижено рівні викиді</w:t>
      </w:r>
      <w:r w:rsidRPr="0002419B">
        <w:rPr>
          <w:rFonts w:ascii="Arial" w:hAnsi="Arial" w:cs="Arial"/>
          <w:i/>
          <w:color w:val="000000"/>
          <w:sz w:val="22"/>
          <w:szCs w:val="22"/>
          <w:lang w:val="uk-UA"/>
        </w:rPr>
        <w:t>в метану.</w:t>
      </w:r>
    </w:p>
    <w:p w:rsidR="00E32025" w:rsidRPr="0002419B" w:rsidRDefault="009E1254" w:rsidP="00E3202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ab/>
      </w:r>
      <w:r w:rsidR="00E32025" w:rsidRPr="0002419B">
        <w:rPr>
          <w:rFonts w:ascii="Arial" w:hAnsi="Arial" w:cs="Arial"/>
          <w:sz w:val="22"/>
          <w:szCs w:val="22"/>
          <w:lang w:val="uk-UA"/>
        </w:rPr>
        <w:t>Розраховуючи кількість екскрементів за рік розробник документації допустив помилку, оскільки вказав, що вони становлять 33 400 т/рік</w:t>
      </w:r>
      <w:r w:rsidR="0002419B">
        <w:rPr>
          <w:rFonts w:ascii="Arial" w:hAnsi="Arial" w:cs="Arial"/>
          <w:sz w:val="22"/>
          <w:szCs w:val="22"/>
          <w:lang w:val="uk-UA"/>
        </w:rPr>
        <w:t>.</w:t>
      </w:r>
      <w:r w:rsidR="00E32025" w:rsidRPr="0002419B">
        <w:rPr>
          <w:rFonts w:ascii="Arial" w:hAnsi="Arial" w:cs="Arial"/>
          <w:sz w:val="22"/>
          <w:szCs w:val="22"/>
          <w:lang w:val="uk-UA"/>
        </w:rPr>
        <w:t xml:space="preserve"> Проте, перевіривши результат за формулою (4700+19200*0,4)*365, кількість екскрементів за рік складає 33 999 750 кг</w:t>
      </w:r>
      <w:r w:rsidR="006C75A9">
        <w:rPr>
          <w:rFonts w:ascii="Arial" w:hAnsi="Arial" w:cs="Arial"/>
          <w:sz w:val="22"/>
          <w:szCs w:val="22"/>
          <w:lang w:val="uk-UA"/>
        </w:rPr>
        <w:t>.</w:t>
      </w:r>
      <w:r w:rsidR="00E32025" w:rsidRPr="0002419B">
        <w:rPr>
          <w:rFonts w:ascii="Arial" w:hAnsi="Arial" w:cs="Arial"/>
          <w:sz w:val="22"/>
          <w:szCs w:val="22"/>
          <w:lang w:val="uk-UA"/>
        </w:rPr>
        <w:t xml:space="preserve"> (33 999, 75 т</w:t>
      </w:r>
      <w:r w:rsidR="006C75A9">
        <w:rPr>
          <w:rFonts w:ascii="Arial" w:hAnsi="Arial" w:cs="Arial"/>
          <w:sz w:val="22"/>
          <w:szCs w:val="22"/>
          <w:lang w:val="uk-UA"/>
        </w:rPr>
        <w:t>.</w:t>
      </w:r>
      <w:r w:rsidR="00E32025" w:rsidRPr="0002419B">
        <w:rPr>
          <w:rFonts w:ascii="Arial" w:hAnsi="Arial" w:cs="Arial"/>
          <w:sz w:val="22"/>
          <w:szCs w:val="22"/>
          <w:lang w:val="uk-UA"/>
        </w:rPr>
        <w:t>).</w:t>
      </w:r>
    </w:p>
    <w:p w:rsidR="00E32025" w:rsidRPr="0002419B" w:rsidRDefault="00E32025" w:rsidP="00E3202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ab/>
        <w:t xml:space="preserve">При обрахунку наступних показників: </w:t>
      </w:r>
      <w:r w:rsidR="0002419B">
        <w:rPr>
          <w:rFonts w:ascii="Arial" w:hAnsi="Arial" w:cs="Arial"/>
          <w:sz w:val="22"/>
          <w:szCs w:val="22"/>
          <w:lang w:val="uk-UA"/>
        </w:rPr>
        <w:t>виходу біогазу, метану в біогазі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та загального обсягу викидів метану за рік від двох лагун було виявлено заниження, оскільки розробник використовував неправильні вихідні дані, через заниження кількості екскрементів за рік.</w:t>
      </w:r>
    </w:p>
    <w:p w:rsidR="00E32025" w:rsidRPr="0002419B" w:rsidRDefault="00E32025" w:rsidP="00E3202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ab/>
        <w:t xml:space="preserve">Для обрахунку метану в біогазі, розробник користувався такою формулою: 1736800*0,6=104 208 м3/рік (де 1736800-вихід біогазу, який визначений розробником). Однак, перерахувавши її, виявилося, що значення повинно становити 1 042 080 м3/рік. Варто зазначити, що вихід біогазу фактично становить 1 767 987 м3/рік, а не 1 736 800 м3/рік, том для обрахунку метану в біогазі потрібно було використовувати таку формулу: 1 767 987 м3/р *0,6 = 1 060 792, 2 м3/рік. Отже, при обрахунку складу метану в біогазі було допущено 10-кратне заниження.   </w:t>
      </w:r>
    </w:p>
    <w:p w:rsidR="00E32025" w:rsidRPr="0002419B" w:rsidRDefault="00E32025" w:rsidP="00E32025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>Звідси річний викид мета</w:t>
      </w:r>
      <w:r w:rsidR="0002419B">
        <w:rPr>
          <w:rFonts w:ascii="Arial" w:hAnsi="Arial" w:cs="Arial"/>
          <w:sz w:val="22"/>
          <w:szCs w:val="22"/>
          <w:lang w:val="uk-UA"/>
        </w:rPr>
        <w:t xml:space="preserve">ну мав би складати 766,953 т. В </w:t>
      </w:r>
      <w:r w:rsidRPr="0002419B">
        <w:rPr>
          <w:rFonts w:ascii="Arial" w:hAnsi="Arial" w:cs="Arial"/>
          <w:sz w:val="22"/>
          <w:szCs w:val="22"/>
          <w:lang w:val="uk-UA"/>
        </w:rPr>
        <w:t>результаті вказаних помилок вдесятеро заниженими виявилися значення викидів метану в атмосферне повітря від двох лагун за рік, оскільки фактично вони становлять 766, 95 т/рік, а не запроектованих 75, 3424 т/рік.</w:t>
      </w:r>
    </w:p>
    <w:p w:rsidR="00825A32" w:rsidRPr="0002419B" w:rsidRDefault="009E1254" w:rsidP="00E32025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>Як наслідок помилок, щодо об</w:t>
      </w:r>
      <w:r w:rsidR="008874EA" w:rsidRPr="0002419B">
        <w:rPr>
          <w:rFonts w:ascii="Arial" w:hAnsi="Arial" w:cs="Arial"/>
          <w:sz w:val="22"/>
          <w:szCs w:val="22"/>
          <w:lang w:val="uk-UA"/>
        </w:rPr>
        <w:t>рахунку викидів метану із лагун,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викиди метану в цілому по підприємству також значно занижені. Зокрема, ТзОВ “Моноліт-Еко” в документах, у яких обґрунтовуються обсяги викидів для одержання дозволу на викиди у таблиці 6. 1 вказало, що обсяги викидів метану по підприємству становлять в розмірі 111,3611</w:t>
      </w:r>
      <w:r w:rsidR="00681DA8">
        <w:rPr>
          <w:rFonts w:ascii="Arial" w:hAnsi="Arial" w:cs="Arial"/>
          <w:sz w:val="22"/>
          <w:szCs w:val="22"/>
          <w:lang w:val="uk-UA"/>
        </w:rPr>
        <w:t xml:space="preserve"> т</w:t>
      </w:r>
      <w:r w:rsidR="006C75A9">
        <w:rPr>
          <w:rFonts w:ascii="Arial" w:hAnsi="Arial" w:cs="Arial"/>
          <w:sz w:val="22"/>
          <w:szCs w:val="22"/>
          <w:lang w:val="uk-UA"/>
        </w:rPr>
        <w:t>.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на рік, в той час як цей показник має бути 802,95 т</w:t>
      </w:r>
      <w:r w:rsidR="006C75A9">
        <w:rPr>
          <w:rFonts w:ascii="Arial" w:hAnsi="Arial" w:cs="Arial"/>
          <w:sz w:val="22"/>
          <w:szCs w:val="22"/>
          <w:lang w:val="uk-UA"/>
        </w:rPr>
        <w:t>.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на рік</w:t>
      </w:r>
      <w:r w:rsidR="0051642B" w:rsidRPr="0002419B">
        <w:rPr>
          <w:rFonts w:ascii="Arial" w:hAnsi="Arial" w:cs="Arial"/>
          <w:sz w:val="22"/>
          <w:szCs w:val="22"/>
          <w:lang w:val="uk-UA"/>
        </w:rPr>
        <w:t>.</w:t>
      </w:r>
      <w:r w:rsidR="008874EA" w:rsidRPr="0002419B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825A32" w:rsidRPr="0002419B" w:rsidRDefault="00825A32" w:rsidP="00825A32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Відповідно до листа Калуської ОДПІ ГУ ДФС в Івано-Франківській області, у 2014 році ТзОВ “Даноша” </w:t>
      </w:r>
      <w:r w:rsidR="002A4AE2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(Додаток 3)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за вики</w:t>
      </w:r>
      <w:r w:rsidR="0002419B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ди вуглеводнів (метану) сплатило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9 591,16 грн. Проте, така сума була сплачена на підставі неправдивої інформації щодо в</w:t>
      </w:r>
      <w:r w:rsidR="0086242F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икидів метану, яка зазначена в д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окументах, на підставі яких видавався дозвіл на викиди, а саме 111, 3611 т/рік, за ставкою </w:t>
      </w:r>
      <w:r w:rsidR="0086242F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екологічного податку н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а викиди вуглеводнів (метану</w:t>
      </w:r>
      <w:r w:rsidR="003A457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) на кінець 2014 р. – 87,81грн</w:t>
      </w:r>
      <w:r w:rsidR="006C75A9">
        <w:rPr>
          <w:rFonts w:ascii="Arial" w:hAnsi="Arial" w:cs="Arial"/>
          <w:color w:val="000000"/>
          <w:sz w:val="22"/>
          <w:szCs w:val="22"/>
          <w:lang w:val="uk-UA" w:eastAsia="uk-UA"/>
        </w:rPr>
        <w:t>.</w:t>
      </w:r>
      <w:r w:rsidR="003A457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з</w:t>
      </w:r>
      <w:r w:rsidR="00681DA8">
        <w:rPr>
          <w:rFonts w:ascii="Arial" w:hAnsi="Arial" w:cs="Arial"/>
          <w:color w:val="000000"/>
          <w:sz w:val="22"/>
          <w:szCs w:val="22"/>
          <w:lang w:val="uk-UA" w:eastAsia="uk-UA"/>
        </w:rPr>
        <w:t>а 1 т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. </w:t>
      </w:r>
    </w:p>
    <w:p w:rsidR="00825A32" w:rsidRPr="0002419B" w:rsidRDefault="00825A32" w:rsidP="00825A32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lastRenderedPageBreak/>
        <w:t>Варто зазначити, що фактичні викиди метану становлять 802, 95 т/рік, а не 111, 3611 т/рік. Відтак, у 2014 році, ТзОВ “Даноша” по</w:t>
      </w:r>
      <w:r w:rsidR="00681DA8">
        <w:rPr>
          <w:rFonts w:ascii="Arial" w:hAnsi="Arial" w:cs="Arial"/>
          <w:color w:val="000000"/>
          <w:sz w:val="22"/>
          <w:szCs w:val="22"/>
          <w:lang w:val="uk-UA" w:eastAsia="uk-UA"/>
        </w:rPr>
        <w:t>винно було</w:t>
      </w:r>
      <w:r w:rsidR="0002419B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сплатити 70 507, 03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грн</w:t>
      </w:r>
      <w:r w:rsidR="006C75A9">
        <w:rPr>
          <w:rFonts w:ascii="Arial" w:hAnsi="Arial" w:cs="Arial"/>
          <w:color w:val="000000"/>
          <w:sz w:val="22"/>
          <w:szCs w:val="22"/>
          <w:lang w:val="uk-UA" w:eastAsia="uk-UA"/>
        </w:rPr>
        <w:t>.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за викиди метану на свинофермі в селі Лука.  Отже, втрати в бюджеті від недоплати еко</w:t>
      </w:r>
      <w:r w:rsidR="0086242F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логічного 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податку за викид</w:t>
      </w:r>
      <w:r w:rsidR="0002419B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и метану становлять 60 915, 87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грн.</w:t>
      </w:r>
    </w:p>
    <w:p w:rsidR="00456837" w:rsidRPr="0002419B" w:rsidRDefault="00825A32" w:rsidP="006C75A9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Через </w:t>
      </w:r>
      <w:r w:rsidR="003A457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аналогічну причину, недоплаченими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є податки за викиди метану у 2015 році. ТзОВ “Даноша” за викиди метану </w:t>
      </w:r>
      <w:r w:rsidR="001959B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у 2015</w:t>
      </w:r>
      <w:r w:rsidR="00681DA8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році сплатило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9 </w:t>
      </w:r>
      <w:r w:rsidR="00681DA8">
        <w:rPr>
          <w:rFonts w:ascii="Arial" w:hAnsi="Arial" w:cs="Arial"/>
          <w:color w:val="000000"/>
          <w:sz w:val="22"/>
          <w:szCs w:val="22"/>
          <w:lang w:val="uk-UA" w:eastAsia="uk-UA"/>
        </w:rPr>
        <w:t>778,52 грн</w:t>
      </w:r>
      <w:r w:rsidR="006C75A9">
        <w:rPr>
          <w:rFonts w:ascii="Arial" w:hAnsi="Arial" w:cs="Arial"/>
          <w:color w:val="000000"/>
          <w:sz w:val="22"/>
          <w:szCs w:val="22"/>
          <w:lang w:val="uk-UA" w:eastAsia="uk-UA"/>
        </w:rPr>
        <w:t>.</w:t>
      </w:r>
      <w:r w:rsidR="00681DA8">
        <w:rPr>
          <w:rFonts w:ascii="Arial" w:hAnsi="Arial" w:cs="Arial"/>
          <w:color w:val="000000"/>
          <w:sz w:val="22"/>
          <w:szCs w:val="22"/>
          <w:lang w:val="uk-UA" w:eastAsia="uk-UA"/>
        </w:rPr>
        <w:t>, в той час як повинно було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сплати</w:t>
      </w:r>
      <w:r w:rsidR="001959B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100 055, беручи до уваги ставку податку станом на 20.09.2015 року </w:t>
      </w:r>
      <w:r w:rsidR="0086242F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-</w:t>
      </w:r>
      <w:r w:rsidR="001959B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124, 61 грн/т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.</w:t>
      </w:r>
      <w:r w:rsidR="0002419B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Суми екологічного податку, які були оплачені у 2016 році нам невідомі, проте є достатньо підстав вважати, що у 2016 році ТзОВ “Даноша” не сплачувала в повному обсязі податок за викиди метану, оскільки зміни до дозволу на викиди</w:t>
      </w:r>
      <w:r w:rsidR="00681DA8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та обґрунтовуючи документів</w:t>
      </w:r>
      <w:r w:rsidR="0002419B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не вносилися. </w:t>
      </w:r>
    </w:p>
    <w:p w:rsidR="008874EA" w:rsidRPr="0002419B" w:rsidRDefault="001959B4" w:rsidP="008874EA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2</w:t>
      </w:r>
      <w:r w:rsidR="008874EA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)</w:t>
      </w:r>
      <w:r w:rsidR="008874EA" w:rsidRPr="0002419B">
        <w:rPr>
          <w:rFonts w:ascii="Arial" w:hAnsi="Arial" w:cs="Arial"/>
          <w:i/>
          <w:sz w:val="22"/>
          <w:szCs w:val="22"/>
          <w:lang w:val="uk-UA"/>
        </w:rPr>
        <w:t xml:space="preserve"> Не враховано викиди всіх забруднюючих речовин</w:t>
      </w:r>
    </w:p>
    <w:p w:rsidR="00947BF2" w:rsidRPr="0002419B" w:rsidRDefault="008874EA" w:rsidP="008874EA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>Ні в дозволі на викиди, ні в документах, у яких обґрунтовуються обсяги викидів для одержання дозволу на викиди не встановлено ліміти викидів таких забруднюючих речовин в атмосферне повітря, як феноли та органічні аміни. Проте, такі викиди на свинофермі мають місце, що підтверджується</w:t>
      </w:r>
      <w:r w:rsidR="00C91C56" w:rsidRPr="0002419B">
        <w:rPr>
          <w:rFonts w:ascii="Arial" w:hAnsi="Arial" w:cs="Arial"/>
          <w:sz w:val="22"/>
          <w:szCs w:val="22"/>
          <w:lang w:val="uk-UA"/>
        </w:rPr>
        <w:t xml:space="preserve"> новими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дозволами на викиди для інших свиноферм ТзОВ</w:t>
      </w:r>
      <w:r w:rsidR="002A4AE2" w:rsidRPr="0002419B">
        <w:rPr>
          <w:rFonts w:ascii="Arial" w:hAnsi="Arial" w:cs="Arial"/>
          <w:sz w:val="22"/>
          <w:szCs w:val="22"/>
          <w:lang w:val="uk-UA"/>
        </w:rPr>
        <w:t xml:space="preserve"> “Даноша”. (Додаток 4, Додаток 5</w:t>
      </w:r>
      <w:r w:rsidRPr="0002419B">
        <w:rPr>
          <w:rFonts w:ascii="Arial" w:hAnsi="Arial" w:cs="Arial"/>
          <w:sz w:val="22"/>
          <w:szCs w:val="22"/>
          <w:lang w:val="uk-UA"/>
        </w:rPr>
        <w:t>).</w:t>
      </w:r>
      <w:r w:rsidR="001959B4" w:rsidRPr="0002419B">
        <w:rPr>
          <w:rFonts w:ascii="Arial" w:hAnsi="Arial" w:cs="Arial"/>
          <w:sz w:val="22"/>
          <w:szCs w:val="22"/>
          <w:lang w:val="uk-UA"/>
        </w:rPr>
        <w:t xml:space="preserve"> </w:t>
      </w:r>
      <w:r w:rsidR="00470F98" w:rsidRPr="0002419B">
        <w:rPr>
          <w:rFonts w:ascii="Arial" w:hAnsi="Arial" w:cs="Arial"/>
          <w:sz w:val="22"/>
          <w:szCs w:val="22"/>
          <w:lang w:val="uk-UA"/>
        </w:rPr>
        <w:t>Крім того, не встановлено ліміти викидів завислих речовин, диметиламінів, диметилсульфідів, кислоти капранової, альдегідів пропі</w:t>
      </w:r>
      <w:r w:rsidR="00947BF2" w:rsidRPr="0002419B">
        <w:rPr>
          <w:rFonts w:ascii="Arial" w:hAnsi="Arial" w:cs="Arial"/>
          <w:sz w:val="22"/>
          <w:szCs w:val="22"/>
          <w:lang w:val="uk-UA"/>
        </w:rPr>
        <w:t>о</w:t>
      </w:r>
      <w:r w:rsidR="00470F98" w:rsidRPr="0002419B">
        <w:rPr>
          <w:rFonts w:ascii="Arial" w:hAnsi="Arial" w:cs="Arial"/>
          <w:sz w:val="22"/>
          <w:szCs w:val="22"/>
          <w:lang w:val="uk-UA"/>
        </w:rPr>
        <w:t xml:space="preserve">нових, що також мають місце на </w:t>
      </w:r>
      <w:r w:rsidR="003A4574" w:rsidRPr="0002419B">
        <w:rPr>
          <w:rFonts w:ascii="Arial" w:hAnsi="Arial" w:cs="Arial"/>
          <w:sz w:val="22"/>
          <w:szCs w:val="22"/>
          <w:lang w:val="uk-UA"/>
        </w:rPr>
        <w:t>аналогічних свинофермах</w:t>
      </w:r>
      <w:r w:rsidR="00470F98" w:rsidRPr="0002419B">
        <w:rPr>
          <w:rFonts w:ascii="Arial" w:hAnsi="Arial" w:cs="Arial"/>
          <w:sz w:val="22"/>
          <w:szCs w:val="22"/>
          <w:lang w:val="uk-UA"/>
        </w:rPr>
        <w:t>. (Додаток 6)</w:t>
      </w:r>
      <w:r w:rsidR="00947BF2" w:rsidRPr="0002419B">
        <w:rPr>
          <w:rFonts w:ascii="Arial" w:hAnsi="Arial" w:cs="Arial"/>
          <w:sz w:val="22"/>
          <w:szCs w:val="22"/>
          <w:lang w:val="uk-UA"/>
        </w:rPr>
        <w:t xml:space="preserve"> Наявність таких викидів на всіх свинофермах, в тому числі </w:t>
      </w:r>
      <w:r w:rsidR="00BF1368" w:rsidRPr="0002419B">
        <w:rPr>
          <w:rFonts w:ascii="Arial" w:hAnsi="Arial" w:cs="Arial"/>
          <w:sz w:val="22"/>
          <w:szCs w:val="22"/>
          <w:lang w:val="uk-UA"/>
        </w:rPr>
        <w:t>на свинофермі ТзОВ “</w:t>
      </w:r>
      <w:r w:rsidR="00947BF2" w:rsidRPr="0002419B">
        <w:rPr>
          <w:rFonts w:ascii="Arial" w:hAnsi="Arial" w:cs="Arial"/>
          <w:sz w:val="22"/>
          <w:szCs w:val="22"/>
          <w:lang w:val="uk-UA"/>
        </w:rPr>
        <w:t xml:space="preserve">Даноша” в селі Лука підтверджується інформацією, яка міститься в примітці до таблиці XII-3 – Величини питомих викидів забруднюючих речовин безпосередньо від тварин, встановлені для різних етапів процесу відтворення, утримання, вирощування та відгодівлі свиней на свинокомплексах потужністю 12, 24 та 36 тис. свиней в рік </w:t>
      </w:r>
      <w:r w:rsidR="00893EDB" w:rsidRPr="0002419B">
        <w:rPr>
          <w:rFonts w:ascii="Arial" w:hAnsi="Arial" w:cs="Arial"/>
          <w:sz w:val="22"/>
          <w:szCs w:val="22"/>
          <w:lang w:val="uk-UA"/>
        </w:rPr>
        <w:t>“</w:t>
      </w:r>
      <w:r w:rsidR="00947BF2" w:rsidRPr="0002419B">
        <w:rPr>
          <w:rFonts w:ascii="Arial" w:hAnsi="Arial" w:cs="Arial"/>
          <w:sz w:val="22"/>
          <w:szCs w:val="22"/>
          <w:lang w:val="uk-UA"/>
        </w:rPr>
        <w:t>Збірника показника емісій, забруднюючих речовин в атмосферне повітря різними виробництвами</w:t>
      </w:r>
      <w:r w:rsidR="00893EDB" w:rsidRPr="0002419B">
        <w:rPr>
          <w:rFonts w:ascii="Arial" w:hAnsi="Arial" w:cs="Arial"/>
          <w:sz w:val="22"/>
          <w:szCs w:val="22"/>
          <w:lang w:val="uk-UA"/>
        </w:rPr>
        <w:t>”</w:t>
      </w:r>
      <w:r w:rsidR="00947BF2" w:rsidRPr="0002419B">
        <w:rPr>
          <w:rFonts w:ascii="Arial" w:hAnsi="Arial" w:cs="Arial"/>
          <w:sz w:val="22"/>
          <w:szCs w:val="22"/>
          <w:lang w:val="uk-UA"/>
        </w:rPr>
        <w:t>. (Додаток 7)</w:t>
      </w:r>
    </w:p>
    <w:p w:rsidR="007E3902" w:rsidRPr="0002419B" w:rsidRDefault="007E3902" w:rsidP="007E3902">
      <w:pPr>
        <w:ind w:firstLine="708"/>
        <w:jc w:val="both"/>
        <w:rPr>
          <w:rFonts w:ascii="Arial" w:hAnsi="Arial" w:cs="Arial"/>
          <w:sz w:val="22"/>
          <w:lang w:val="uk-UA"/>
        </w:rPr>
      </w:pPr>
      <w:r w:rsidRPr="0002419B">
        <w:rPr>
          <w:rFonts w:ascii="Arial" w:hAnsi="Arial" w:cs="Arial"/>
          <w:sz w:val="22"/>
          <w:lang w:val="uk-UA"/>
        </w:rPr>
        <w:t>Використання “Збірника показника емісій, забруднюючих речовин в атмосферне повітря різними виробництвами” є обов’язковим при визначенні валових обсягів викидів забруднюючих речовин в атмосферне повітря</w:t>
      </w:r>
      <w:r w:rsidR="00BF1368" w:rsidRPr="0002419B">
        <w:rPr>
          <w:rFonts w:ascii="Arial" w:hAnsi="Arial" w:cs="Arial"/>
          <w:sz w:val="22"/>
          <w:lang w:val="uk-UA"/>
        </w:rPr>
        <w:t xml:space="preserve"> під час ведення державного обліку в галузі охорони атмосферн</w:t>
      </w:r>
      <w:r w:rsidR="00681DA8">
        <w:rPr>
          <w:rFonts w:ascii="Arial" w:hAnsi="Arial" w:cs="Arial"/>
          <w:sz w:val="22"/>
          <w:lang w:val="uk-UA"/>
        </w:rPr>
        <w:t>ого повітря та обчислення збору</w:t>
      </w:r>
      <w:r w:rsidRPr="0002419B">
        <w:rPr>
          <w:rFonts w:ascii="Arial" w:hAnsi="Arial" w:cs="Arial"/>
          <w:sz w:val="22"/>
          <w:lang w:val="uk-UA"/>
        </w:rPr>
        <w:t>,</w:t>
      </w:r>
      <w:r w:rsidR="00BF1368" w:rsidRPr="0002419B">
        <w:rPr>
          <w:rFonts w:ascii="Arial" w:hAnsi="Arial" w:cs="Arial"/>
          <w:sz w:val="22"/>
          <w:lang w:val="uk-UA"/>
        </w:rPr>
        <w:t xml:space="preserve"> який справляється за викиди в атмосферне повітря,</w:t>
      </w:r>
      <w:r w:rsidRPr="0002419B">
        <w:rPr>
          <w:rFonts w:ascii="Arial" w:hAnsi="Arial" w:cs="Arial"/>
          <w:sz w:val="22"/>
          <w:lang w:val="uk-UA"/>
        </w:rPr>
        <w:t xml:space="preserve"> що підтверджується листом Мінприроди від 28.05.2010 р. (Додаток 8) </w:t>
      </w:r>
    </w:p>
    <w:p w:rsidR="00456837" w:rsidRPr="0002419B" w:rsidRDefault="00470F98" w:rsidP="006C75A9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 xml:space="preserve"> </w:t>
      </w:r>
      <w:r w:rsidR="001959B4" w:rsidRPr="0002419B">
        <w:rPr>
          <w:rFonts w:ascii="Arial" w:hAnsi="Arial" w:cs="Arial"/>
          <w:sz w:val="22"/>
          <w:szCs w:val="22"/>
          <w:lang w:val="uk-UA"/>
        </w:rPr>
        <w:t>Відтак, ТзОВ “Даноша” ні у 2014 році, ні у 2015 році не сплачувала екологічного податку за вики</w:t>
      </w:r>
      <w:r w:rsidRPr="0002419B">
        <w:rPr>
          <w:rFonts w:ascii="Arial" w:hAnsi="Arial" w:cs="Arial"/>
          <w:sz w:val="22"/>
          <w:szCs w:val="22"/>
          <w:lang w:val="uk-UA"/>
        </w:rPr>
        <w:t>ди фенолів, органічних амінів, завислих речовин, диметиламінів, диметилсульфідів, кислоти капранової та альдегіду пропі</w:t>
      </w:r>
      <w:r w:rsidR="00947BF2" w:rsidRPr="0002419B">
        <w:rPr>
          <w:rFonts w:ascii="Arial" w:hAnsi="Arial" w:cs="Arial"/>
          <w:sz w:val="22"/>
          <w:szCs w:val="22"/>
          <w:lang w:val="uk-UA"/>
        </w:rPr>
        <w:t>о</w:t>
      </w:r>
      <w:r w:rsidRPr="0002419B">
        <w:rPr>
          <w:rFonts w:ascii="Arial" w:hAnsi="Arial" w:cs="Arial"/>
          <w:sz w:val="22"/>
          <w:szCs w:val="22"/>
          <w:lang w:val="uk-UA"/>
        </w:rPr>
        <w:t>нового.</w:t>
      </w:r>
    </w:p>
    <w:p w:rsidR="001959B4" w:rsidRPr="0002419B" w:rsidRDefault="001959B4" w:rsidP="001959B4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 xml:space="preserve">3) </w:t>
      </w:r>
      <w:r w:rsidRPr="0002419B">
        <w:rPr>
          <w:rFonts w:ascii="Arial" w:hAnsi="Arial" w:cs="Arial"/>
          <w:i/>
          <w:sz w:val="22"/>
          <w:szCs w:val="22"/>
          <w:lang w:val="uk-UA"/>
        </w:rPr>
        <w:t xml:space="preserve"> Реальна кількість свинопого</w:t>
      </w:r>
      <w:r w:rsidR="0002419B" w:rsidRPr="0002419B">
        <w:rPr>
          <w:rFonts w:ascii="Arial" w:hAnsi="Arial" w:cs="Arial"/>
          <w:i/>
          <w:sz w:val="22"/>
          <w:szCs w:val="22"/>
          <w:lang w:val="uk-UA"/>
        </w:rPr>
        <w:t>лів’я на підприємстві є більшою</w:t>
      </w:r>
      <w:r w:rsidRPr="0002419B">
        <w:rPr>
          <w:rFonts w:ascii="Arial" w:hAnsi="Arial" w:cs="Arial"/>
          <w:i/>
          <w:sz w:val="22"/>
          <w:szCs w:val="22"/>
          <w:lang w:val="uk-UA"/>
        </w:rPr>
        <w:t xml:space="preserve"> від тієї кількості, щодо якої здійснювався розрахунок викидів забруднюючих речовин</w:t>
      </w:r>
      <w:r w:rsidR="00C91C56" w:rsidRPr="0002419B">
        <w:rPr>
          <w:rFonts w:ascii="Arial" w:hAnsi="Arial" w:cs="Arial"/>
          <w:i/>
          <w:sz w:val="22"/>
          <w:szCs w:val="22"/>
          <w:lang w:val="uk-UA"/>
        </w:rPr>
        <w:t>.</w:t>
      </w:r>
      <w:r w:rsidRPr="0002419B">
        <w:rPr>
          <w:rFonts w:ascii="Arial" w:hAnsi="Arial" w:cs="Arial"/>
          <w:i/>
          <w:sz w:val="22"/>
          <w:szCs w:val="22"/>
          <w:lang w:val="uk-UA"/>
        </w:rPr>
        <w:t xml:space="preserve"> </w:t>
      </w:r>
    </w:p>
    <w:p w:rsidR="001959B4" w:rsidRPr="0002419B" w:rsidRDefault="001959B4" w:rsidP="001959B4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>Документи, у яких обґрунтовуються обсяги викидів для одержання дозволу на викиди забруднюючих речовин в атмосферне повітря стаціонарними джерелами для свиноферми ТзОВ “Дан</w:t>
      </w:r>
      <w:r w:rsidR="00BF1368" w:rsidRPr="0002419B">
        <w:rPr>
          <w:rFonts w:ascii="Arial" w:hAnsi="Arial" w:cs="Arial"/>
          <w:sz w:val="22"/>
          <w:szCs w:val="22"/>
          <w:lang w:val="uk-UA"/>
        </w:rPr>
        <w:t>оша” розроблялися для підприємства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потужністю 2</w:t>
      </w:r>
      <w:r w:rsidR="00DC47AB" w:rsidRPr="0002419B">
        <w:rPr>
          <w:rFonts w:ascii="Arial" w:hAnsi="Arial" w:cs="Arial"/>
          <w:sz w:val="22"/>
          <w:szCs w:val="22"/>
          <w:lang w:val="uk-UA"/>
        </w:rPr>
        <w:t>4 тис. голів свиней на рік. Від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так, всі розрахунки викидів забруднюючих речовин обчислювалися на підставі вищезазначеної кількості поголів’я.  </w:t>
      </w:r>
    </w:p>
    <w:p w:rsidR="001959B4" w:rsidRPr="0002419B" w:rsidRDefault="001959B4" w:rsidP="001959B4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02419B">
        <w:rPr>
          <w:rFonts w:ascii="Arial" w:hAnsi="Arial" w:cs="Arial"/>
          <w:sz w:val="22"/>
          <w:szCs w:val="22"/>
          <w:lang w:val="uk-UA"/>
        </w:rPr>
        <w:t>Проте, згідно інформації, наданої в листі Калуської районної державної лікарні ветеринарної медицини від 22.03.2</w:t>
      </w:r>
      <w:r w:rsidR="007E3902" w:rsidRPr="0002419B">
        <w:rPr>
          <w:rFonts w:ascii="Arial" w:hAnsi="Arial" w:cs="Arial"/>
          <w:sz w:val="22"/>
          <w:szCs w:val="22"/>
          <w:lang w:val="uk-UA"/>
        </w:rPr>
        <w:t>016 р. (Додаток 9</w:t>
      </w:r>
      <w:r w:rsidRPr="0002419B">
        <w:rPr>
          <w:rFonts w:ascii="Arial" w:hAnsi="Arial" w:cs="Arial"/>
          <w:sz w:val="22"/>
          <w:szCs w:val="22"/>
          <w:lang w:val="uk-UA"/>
        </w:rPr>
        <w:t>), за період 2013-2015 р. було видано ветеринарних документів, що засвідчують клінічний стан та благополуччя території на 96 208 голів свиней, що належать ТзОВ “Даноша”, ферма с. Лука і були призначені для реалізації. Відтак, в середньому, щорічно реалізовувалося 32 069 голів свиней. Це на 8 069 голів свиней більше, від тієї кількості для якої розроблявся дозвіл на викиди. Оскільки, фактично на свинофермі перебувало більше тварин, ніж зазначено в обґрунтовуючи</w:t>
      </w:r>
      <w:r w:rsidR="00681DA8">
        <w:rPr>
          <w:rFonts w:ascii="Arial" w:hAnsi="Arial" w:cs="Arial"/>
          <w:sz w:val="22"/>
          <w:szCs w:val="22"/>
          <w:lang w:val="uk-UA"/>
        </w:rPr>
        <w:t>х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матеріалах, кількість виходу гною на свинофермі була також більшою. А звідси випливає, що</w:t>
      </w:r>
      <w:r w:rsidR="00C91C56" w:rsidRPr="0002419B">
        <w:rPr>
          <w:rFonts w:ascii="Arial" w:hAnsi="Arial" w:cs="Arial"/>
          <w:sz w:val="22"/>
          <w:szCs w:val="22"/>
          <w:lang w:val="uk-UA"/>
        </w:rPr>
        <w:t xml:space="preserve"> фактичні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обсяги викидів забруднюючих речовин</w:t>
      </w:r>
      <w:r w:rsidR="00C91C56" w:rsidRPr="0002419B">
        <w:rPr>
          <w:rFonts w:ascii="Arial" w:hAnsi="Arial" w:cs="Arial"/>
          <w:sz w:val="22"/>
          <w:szCs w:val="22"/>
          <w:lang w:val="uk-UA"/>
        </w:rPr>
        <w:t xml:space="preserve"> у 2013-</w:t>
      </w:r>
      <w:r w:rsidR="003A4574" w:rsidRPr="0002419B">
        <w:rPr>
          <w:rFonts w:ascii="Arial" w:hAnsi="Arial" w:cs="Arial"/>
          <w:sz w:val="22"/>
          <w:szCs w:val="22"/>
          <w:lang w:val="uk-UA"/>
        </w:rPr>
        <w:t>2</w:t>
      </w:r>
      <w:r w:rsidR="00681DA8">
        <w:rPr>
          <w:rFonts w:ascii="Arial" w:hAnsi="Arial" w:cs="Arial"/>
          <w:sz w:val="22"/>
          <w:szCs w:val="22"/>
          <w:lang w:val="uk-UA"/>
        </w:rPr>
        <w:t>016</w:t>
      </w:r>
      <w:r w:rsidR="00C91C56" w:rsidRPr="0002419B">
        <w:rPr>
          <w:rFonts w:ascii="Arial" w:hAnsi="Arial" w:cs="Arial"/>
          <w:sz w:val="22"/>
          <w:szCs w:val="22"/>
          <w:lang w:val="uk-UA"/>
        </w:rPr>
        <w:t xml:space="preserve"> рр.</w:t>
      </w:r>
      <w:r w:rsidRPr="0002419B">
        <w:rPr>
          <w:rFonts w:ascii="Arial" w:hAnsi="Arial" w:cs="Arial"/>
          <w:sz w:val="22"/>
          <w:szCs w:val="22"/>
          <w:lang w:val="uk-UA"/>
        </w:rPr>
        <w:t xml:space="preserve"> були вищими, від тих, які зазначені в документах, у яких обґрунтовуються обсяги викидів, для отримання дозволу на викиди забруднюючих речовин в атмосферне повітря стаціонарними джерелами для свинокомплексу ТзОВ “Даноша” в селі Лука, а отже суми екологічного податку, які сплачувалися ТзОВ “Даноша” були нижчими від тих, які фактично мали бути сплачені.        </w:t>
      </w:r>
    </w:p>
    <w:p w:rsidR="00A15A4D" w:rsidRPr="0002419B" w:rsidRDefault="00A15A4D" w:rsidP="00722309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Відповідно до положення “Про Державну фіскальну службу України”, ДФС</w:t>
      </w:r>
      <w:r w:rsidR="00681DA8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України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відповід</w:t>
      </w:r>
      <w:r w:rsidR="001959B4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но до пок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ладених на неї завдань контролює повноту нарахування та сплати податків і зборів, здійснює контроль за дотриманням податкового законодавства.</w:t>
      </w:r>
    </w:p>
    <w:p w:rsidR="001737F1" w:rsidRPr="0002419B" w:rsidRDefault="00A15A4D" w:rsidP="00722309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lastRenderedPageBreak/>
        <w:t xml:space="preserve">Згідно з </w:t>
      </w:r>
      <w:r w:rsidR="001737F1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пп. 54.3.2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</w:t>
      </w:r>
      <w:r w:rsidR="001737F1"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ст. 54 </w:t>
      </w: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Податкового кодексу України, контролюючий орган зобов’язаний самостійно визначити суму грошових зобов’язань, якщо </w:t>
      </w:r>
      <w:r w:rsidRPr="0002419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 </w:t>
      </w: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дані перевірок результатів діяльності платника податків, крім електронної перевірки, свід</w:t>
      </w:r>
      <w:r w:rsidR="001737F1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чать про заниження</w:t>
      </w: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суми його податкових зобов'язань</w:t>
      </w:r>
      <w:r w:rsidR="001737F1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.</w:t>
      </w:r>
    </w:p>
    <w:p w:rsidR="001737F1" w:rsidRPr="0002419B" w:rsidRDefault="001737F1" w:rsidP="00722309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</w:pP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Керуючись ст. 123 ПК України, у разі, якщо контролюючий орган самостійно визначає суму податкового зобов’язання на підставі пп. 54.3.2 ст. 54 тягне за собою наклад</w:t>
      </w:r>
      <w:r w:rsidR="00681DA8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ення на платника податків штрафу</w:t>
      </w: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в розмірі 25 % суми визначеного податкового зобов’язання. </w:t>
      </w:r>
    </w:p>
    <w:p w:rsidR="001737F1" w:rsidRPr="0002419B" w:rsidRDefault="001737F1" w:rsidP="00722309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</w:pP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В</w:t>
      </w:r>
      <w:r w:rsidR="003A4574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раховуючи вищенаведене, проси</w:t>
      </w: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м</w:t>
      </w:r>
      <w:r w:rsidR="003A4574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о</w:t>
      </w: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:</w:t>
      </w:r>
    </w:p>
    <w:p w:rsidR="001737F1" w:rsidRPr="0002419B" w:rsidRDefault="001737F1" w:rsidP="001737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Здійснити перевірку додержання ТзОВ “Даноша” податкового законодавства при визначенні та сплаті екологічного податку за викиди забруднюючих речовин свинофермою в селі Лука</w:t>
      </w:r>
      <w:r w:rsidR="00893EDB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за період 2014</w:t>
      </w:r>
      <w:r w:rsidR="0040408B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-2016 рр.</w:t>
      </w:r>
    </w:p>
    <w:p w:rsidR="00A15A4D" w:rsidRPr="0002419B" w:rsidRDefault="001737F1" w:rsidP="001737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>Зобов’язати ТзОВ “Даноша” сплатити в повному обсязі екологічний податок за викиди забруднюючих речовин</w:t>
      </w:r>
      <w:r w:rsidR="003213F5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на свинофермі в селі Лука</w:t>
      </w:r>
      <w:r w:rsidR="00DC47AB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за 2014,</w:t>
      </w: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2015</w:t>
      </w:r>
      <w:r w:rsidR="00DC47AB"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та 2016</w:t>
      </w:r>
      <w:r w:rsidRPr="0002419B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рр. </w:t>
      </w:r>
    </w:p>
    <w:p w:rsidR="00AB3B41" w:rsidRPr="0002419B" w:rsidRDefault="003213F5" w:rsidP="003213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Накласти на ТзОВ “Даноша” штраф за заниження податкового зобов’язання.</w:t>
      </w:r>
    </w:p>
    <w:p w:rsidR="00C91C56" w:rsidRPr="0002419B" w:rsidRDefault="00C91C56" w:rsidP="003213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22"/>
          <w:szCs w:val="22"/>
          <w:lang w:val="uk-UA" w:eastAsia="uk-UA"/>
        </w:rPr>
        <w:t>Повідомити нас про вжиті заходи та результати перевірки.</w:t>
      </w:r>
    </w:p>
    <w:p w:rsidR="001A6027" w:rsidRPr="0002419B" w:rsidRDefault="001A6027" w:rsidP="001A6027">
      <w:pPr>
        <w:jc w:val="both"/>
        <w:rPr>
          <w:rFonts w:ascii="Arial" w:hAnsi="Arial" w:cs="Arial"/>
          <w:color w:val="000000"/>
          <w:sz w:val="22"/>
          <w:szCs w:val="22"/>
          <w:lang w:val="uk-UA" w:eastAsia="uk-UA"/>
        </w:rPr>
      </w:pPr>
    </w:p>
    <w:p w:rsidR="00C91C56" w:rsidRPr="0002419B" w:rsidRDefault="001A6027" w:rsidP="00C91C56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uk-UA" w:eastAsia="uk-UA"/>
        </w:rPr>
      </w:pPr>
      <w:r w:rsidRPr="0002419B">
        <w:rPr>
          <w:rFonts w:ascii="Arial" w:hAnsi="Arial" w:cs="Arial"/>
          <w:sz w:val="22"/>
          <w:szCs w:val="22"/>
          <w:lang w:val="uk-UA" w:eastAsia="uk-UA"/>
        </w:rPr>
        <w:t>Просимо надати відповідь в передбачений законом термін у паперовій чи електронній формі</w:t>
      </w:r>
      <w:r w:rsidR="00C91C56" w:rsidRPr="0002419B">
        <w:rPr>
          <w:rFonts w:ascii="Arial" w:hAnsi="Arial" w:cs="Arial"/>
          <w:sz w:val="22"/>
          <w:szCs w:val="22"/>
          <w:lang w:val="uk-UA" w:eastAsia="uk-UA"/>
        </w:rPr>
        <w:t>.</w:t>
      </w:r>
      <w:r w:rsidRPr="0002419B">
        <w:rPr>
          <w:rFonts w:ascii="Arial" w:hAnsi="Arial" w:cs="Arial"/>
          <w:sz w:val="22"/>
          <w:szCs w:val="22"/>
          <w:u w:val="single"/>
          <w:lang w:val="uk-UA" w:eastAsia="uk-UA"/>
        </w:rPr>
        <w:t xml:space="preserve"> </w:t>
      </w:r>
    </w:p>
    <w:p w:rsidR="00C91C56" w:rsidRPr="0002419B" w:rsidRDefault="00C91C56" w:rsidP="00C91C56">
      <w:pPr>
        <w:ind w:firstLine="708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02419B">
        <w:rPr>
          <w:rFonts w:ascii="Arial" w:hAnsi="Arial" w:cs="Arial"/>
          <w:sz w:val="22"/>
          <w:szCs w:val="22"/>
          <w:lang w:val="uk-UA" w:eastAsia="uk-UA"/>
        </w:rPr>
        <w:t>Додатки:</w:t>
      </w:r>
    </w:p>
    <w:p w:rsidR="00C91C56" w:rsidRPr="0002419B" w:rsidRDefault="0002419B" w:rsidP="00C91C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/>
        </w:rPr>
        <w:t>Копія дозво</w:t>
      </w:r>
      <w:r w:rsidR="00C91C56" w:rsidRPr="0002419B">
        <w:rPr>
          <w:rFonts w:ascii="Arial" w:hAnsi="Arial" w:cs="Arial"/>
          <w:sz w:val="22"/>
          <w:szCs w:val="22"/>
          <w:lang w:val="uk-UA"/>
        </w:rPr>
        <w:t>л</w:t>
      </w:r>
      <w:r>
        <w:rPr>
          <w:rFonts w:ascii="Arial" w:hAnsi="Arial" w:cs="Arial"/>
          <w:sz w:val="22"/>
          <w:szCs w:val="22"/>
          <w:lang w:val="uk-UA"/>
        </w:rPr>
        <w:t>у</w:t>
      </w:r>
      <w:r w:rsidR="00C91C56" w:rsidRPr="0002419B">
        <w:rPr>
          <w:rFonts w:ascii="Arial" w:hAnsi="Arial" w:cs="Arial"/>
          <w:sz w:val="22"/>
          <w:szCs w:val="22"/>
          <w:lang w:val="uk-UA"/>
        </w:rPr>
        <w:t xml:space="preserve"> на викиди № 2622883601-9 від 30.01.2014 р.</w:t>
      </w:r>
    </w:p>
    <w:p w:rsidR="002A4AE2" w:rsidRPr="0002419B" w:rsidRDefault="0002419B" w:rsidP="00C91C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Копія документів</w:t>
      </w:r>
      <w:r w:rsidR="00C91C56" w:rsidRPr="0002419B">
        <w:rPr>
          <w:rFonts w:ascii="Arial" w:hAnsi="Arial" w:cs="Arial"/>
          <w:sz w:val="22"/>
          <w:szCs w:val="22"/>
          <w:lang w:val="uk-UA" w:eastAsia="uk-UA"/>
        </w:rPr>
        <w:t>, у яких обґрунтовуються обсяги викидів, для отримання дозволу на викиди забруднюючих речовин в атмосферне повітря стаціонарними джерелами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 xml:space="preserve"> (в електронному варіанті).</w:t>
      </w:r>
    </w:p>
    <w:p w:rsidR="002A4AE2" w:rsidRPr="0002419B" w:rsidRDefault="0002419B" w:rsidP="00C91C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Копія л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 xml:space="preserve">ист Калуської ОДПІ ГУ ДФС в Івано-Франківській області від 23.11.2016 р. </w:t>
      </w:r>
    </w:p>
    <w:p w:rsidR="002A4AE2" w:rsidRPr="0002419B" w:rsidRDefault="0002419B" w:rsidP="00C91C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Копія дозво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>л</w:t>
      </w:r>
      <w:r>
        <w:rPr>
          <w:rFonts w:ascii="Arial" w:hAnsi="Arial" w:cs="Arial"/>
          <w:sz w:val="22"/>
          <w:szCs w:val="22"/>
          <w:lang w:val="uk-UA" w:eastAsia="uk-UA"/>
        </w:rPr>
        <w:t>у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 xml:space="preserve"> на викиди № 2621284901-1 від 16.11.2016 р.</w:t>
      </w:r>
    </w:p>
    <w:p w:rsidR="002A4AE2" w:rsidRPr="0002419B" w:rsidRDefault="0002419B" w:rsidP="00C91C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Копія дозво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>л</w:t>
      </w:r>
      <w:r>
        <w:rPr>
          <w:rFonts w:ascii="Arial" w:hAnsi="Arial" w:cs="Arial"/>
          <w:sz w:val="22"/>
          <w:szCs w:val="22"/>
          <w:lang w:val="uk-UA" w:eastAsia="uk-UA"/>
        </w:rPr>
        <w:t>у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 xml:space="preserve"> на викиди № 2621281501-2 від 15.11.2016 р.</w:t>
      </w:r>
    </w:p>
    <w:p w:rsidR="00470F98" w:rsidRPr="0002419B" w:rsidRDefault="0002419B" w:rsidP="00C91C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Копія п</w:t>
      </w:r>
      <w:r w:rsidR="00470F98" w:rsidRPr="0002419B">
        <w:rPr>
          <w:rFonts w:ascii="Arial" w:hAnsi="Arial" w:cs="Arial"/>
          <w:sz w:val="22"/>
          <w:szCs w:val="22"/>
          <w:lang w:val="uk-UA" w:eastAsia="uk-UA"/>
        </w:rPr>
        <w:t xml:space="preserve">овідомлення в газеті для обґрунтування зменшення нормативної СЗЗ та отримання дозволу на викиди забруднюючих речовин в атмосферне повітря </w:t>
      </w:r>
      <w:r w:rsidR="003A4574" w:rsidRPr="0002419B">
        <w:rPr>
          <w:rFonts w:ascii="Arial" w:hAnsi="Arial" w:cs="Arial"/>
          <w:sz w:val="22"/>
          <w:szCs w:val="22"/>
          <w:lang w:val="uk-UA" w:eastAsia="uk-UA"/>
        </w:rPr>
        <w:t>свинофермою ТзОВ “Лемберг-Агро”</w:t>
      </w:r>
      <w:r w:rsidR="00456837">
        <w:rPr>
          <w:rFonts w:ascii="Arial" w:hAnsi="Arial" w:cs="Arial"/>
          <w:sz w:val="22"/>
          <w:szCs w:val="22"/>
          <w:lang w:val="uk-UA" w:eastAsia="uk-UA"/>
        </w:rPr>
        <w:t>.</w:t>
      </w:r>
    </w:p>
    <w:p w:rsidR="00947BF2" w:rsidRPr="0002419B" w:rsidRDefault="00947BF2" w:rsidP="00947BF2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2"/>
          <w:lang w:val="uk-UA"/>
        </w:rPr>
      </w:pPr>
      <w:r w:rsidRPr="0002419B">
        <w:rPr>
          <w:rFonts w:ascii="Arial" w:hAnsi="Arial" w:cs="Arial"/>
          <w:sz w:val="22"/>
          <w:lang w:val="uk-UA"/>
        </w:rPr>
        <w:t>Збірник показників емісій забруднюючих речовин в атмосферне повітря різними виробництвами (С. 91-101)</w:t>
      </w:r>
      <w:r w:rsidR="00DC47AB" w:rsidRPr="0002419B">
        <w:rPr>
          <w:rFonts w:ascii="Arial" w:hAnsi="Arial" w:cs="Arial"/>
          <w:sz w:val="22"/>
          <w:lang w:val="uk-UA"/>
        </w:rPr>
        <w:t>.</w:t>
      </w:r>
    </w:p>
    <w:p w:rsidR="007E3902" w:rsidRPr="0002419B" w:rsidRDefault="0002419B" w:rsidP="00947BF2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Копія л</w:t>
      </w:r>
      <w:r w:rsidR="007E3902" w:rsidRPr="0002419B">
        <w:rPr>
          <w:rFonts w:ascii="Arial" w:hAnsi="Arial" w:cs="Arial"/>
          <w:sz w:val="22"/>
          <w:lang w:val="uk-UA"/>
        </w:rPr>
        <w:t>ист</w:t>
      </w:r>
      <w:r>
        <w:rPr>
          <w:rFonts w:ascii="Arial" w:hAnsi="Arial" w:cs="Arial"/>
          <w:sz w:val="22"/>
          <w:lang w:val="uk-UA"/>
        </w:rPr>
        <w:t>а</w:t>
      </w:r>
      <w:r w:rsidR="007E3902" w:rsidRPr="0002419B">
        <w:rPr>
          <w:rFonts w:ascii="Arial" w:hAnsi="Arial" w:cs="Arial"/>
          <w:sz w:val="22"/>
          <w:lang w:val="uk-UA"/>
        </w:rPr>
        <w:t xml:space="preserve"> Мінприроди від 28.05.2010 р. № 10415/11/10-10</w:t>
      </w:r>
      <w:r w:rsidR="00456837">
        <w:rPr>
          <w:rFonts w:ascii="Arial" w:hAnsi="Arial" w:cs="Arial"/>
          <w:sz w:val="22"/>
          <w:lang w:val="uk-UA"/>
        </w:rPr>
        <w:t>.</w:t>
      </w:r>
    </w:p>
    <w:p w:rsidR="00C91C56" w:rsidRPr="0002419B" w:rsidRDefault="0002419B" w:rsidP="00C91C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>Копія л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>ист</w:t>
      </w:r>
      <w:r>
        <w:rPr>
          <w:rFonts w:ascii="Arial" w:hAnsi="Arial" w:cs="Arial"/>
          <w:sz w:val="22"/>
          <w:szCs w:val="22"/>
          <w:lang w:val="uk-UA" w:eastAsia="uk-UA"/>
        </w:rPr>
        <w:t>а</w:t>
      </w:r>
      <w:r w:rsidR="002A4AE2" w:rsidRPr="0002419B">
        <w:rPr>
          <w:rFonts w:ascii="Arial" w:hAnsi="Arial" w:cs="Arial"/>
          <w:sz w:val="22"/>
          <w:szCs w:val="22"/>
          <w:lang w:val="uk-UA" w:eastAsia="uk-UA"/>
        </w:rPr>
        <w:t xml:space="preserve"> Калуської районної державної лікарні ветеринарної медицини від 22.03.2016 р.</w:t>
      </w:r>
    </w:p>
    <w:p w:rsidR="001A6027" w:rsidRPr="0002419B" w:rsidRDefault="001A6027" w:rsidP="001A6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22"/>
          <w:szCs w:val="22"/>
          <w:u w:val="single"/>
          <w:lang w:val="uk-UA" w:eastAsia="uk-UA"/>
        </w:rPr>
      </w:pPr>
    </w:p>
    <w:p w:rsidR="001A6027" w:rsidRPr="0002419B" w:rsidRDefault="001A6027" w:rsidP="001A6027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 xml:space="preserve">Директор </w:t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  <w:t>Олена Кравченко</w:t>
      </w:r>
    </w:p>
    <w:p w:rsidR="001A6027" w:rsidRPr="0002419B" w:rsidRDefault="001A6027" w:rsidP="001A6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7864"/>
        </w:tabs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uk-UA" w:eastAsia="uk-UA"/>
        </w:rPr>
      </w:pP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>МБО “Екологія-Право-Людина”</w:t>
      </w:r>
      <w:r w:rsidRPr="0002419B">
        <w:rPr>
          <w:rFonts w:ascii="Arial" w:hAnsi="Arial" w:cs="Arial"/>
          <w:b/>
          <w:color w:val="000000"/>
          <w:sz w:val="22"/>
          <w:szCs w:val="22"/>
          <w:lang w:val="uk-UA" w:eastAsia="uk-UA"/>
        </w:rPr>
        <w:tab/>
      </w:r>
    </w:p>
    <w:p w:rsidR="001A6027" w:rsidRPr="0002419B" w:rsidRDefault="001A6027" w:rsidP="001A6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</w:p>
    <w:p w:rsidR="001A6027" w:rsidRPr="0002419B" w:rsidRDefault="001A6027" w:rsidP="001A6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18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18"/>
          <w:szCs w:val="22"/>
          <w:lang w:val="uk-UA" w:eastAsia="uk-UA"/>
        </w:rPr>
        <w:t>Виконавець:</w:t>
      </w:r>
    </w:p>
    <w:p w:rsidR="00E05E63" w:rsidRPr="0002419B" w:rsidRDefault="001A6027" w:rsidP="002A4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18"/>
          <w:szCs w:val="22"/>
          <w:lang w:val="uk-UA" w:eastAsia="uk-UA"/>
        </w:rPr>
      </w:pPr>
      <w:r w:rsidRPr="0002419B">
        <w:rPr>
          <w:rFonts w:ascii="Arial" w:hAnsi="Arial" w:cs="Arial"/>
          <w:color w:val="000000"/>
          <w:sz w:val="18"/>
          <w:szCs w:val="22"/>
          <w:lang w:val="uk-UA" w:eastAsia="uk-UA"/>
        </w:rPr>
        <w:t>Ольга Мелень-Забрамна</w:t>
      </w:r>
    </w:p>
    <w:p w:rsidR="00E05E63" w:rsidRPr="0002419B" w:rsidRDefault="00E05E63" w:rsidP="00E05E63">
      <w:pPr>
        <w:rPr>
          <w:rFonts w:ascii="Arial" w:hAnsi="Arial" w:cs="Arial"/>
          <w:sz w:val="18"/>
          <w:szCs w:val="22"/>
          <w:lang w:val="uk-UA" w:eastAsia="uk-UA"/>
        </w:rPr>
      </w:pPr>
    </w:p>
    <w:p w:rsidR="00E05E63" w:rsidRPr="0002419B" w:rsidRDefault="00E05E63" w:rsidP="00E05E63">
      <w:pPr>
        <w:rPr>
          <w:rFonts w:ascii="Arial" w:hAnsi="Arial" w:cs="Arial"/>
          <w:sz w:val="18"/>
          <w:szCs w:val="22"/>
          <w:lang w:val="uk-UA" w:eastAsia="uk-UA"/>
        </w:rPr>
      </w:pPr>
    </w:p>
    <w:p w:rsidR="00E05E63" w:rsidRPr="0002419B" w:rsidRDefault="00E05E63" w:rsidP="00E05E63">
      <w:pPr>
        <w:rPr>
          <w:rFonts w:ascii="Arial" w:hAnsi="Arial" w:cs="Arial"/>
          <w:sz w:val="18"/>
          <w:szCs w:val="22"/>
          <w:lang w:val="uk-UA" w:eastAsia="uk-UA"/>
        </w:rPr>
      </w:pPr>
    </w:p>
    <w:p w:rsidR="00E05E63" w:rsidRPr="0002419B" w:rsidRDefault="00E05E63" w:rsidP="00E05E63">
      <w:pPr>
        <w:rPr>
          <w:rFonts w:ascii="Arial" w:hAnsi="Arial" w:cs="Arial"/>
          <w:sz w:val="18"/>
          <w:szCs w:val="22"/>
          <w:lang w:val="uk-UA" w:eastAsia="uk-UA"/>
        </w:rPr>
      </w:pPr>
    </w:p>
    <w:p w:rsidR="0051422A" w:rsidRPr="0002419B" w:rsidRDefault="00E05E63" w:rsidP="00E05E63">
      <w:pPr>
        <w:tabs>
          <w:tab w:val="left" w:pos="3855"/>
        </w:tabs>
        <w:rPr>
          <w:rFonts w:ascii="Arial" w:hAnsi="Arial" w:cs="Arial"/>
          <w:sz w:val="18"/>
          <w:szCs w:val="22"/>
          <w:lang w:val="uk-UA" w:eastAsia="uk-UA"/>
        </w:rPr>
      </w:pPr>
      <w:r w:rsidRPr="0002419B">
        <w:rPr>
          <w:rFonts w:ascii="Arial" w:hAnsi="Arial" w:cs="Arial"/>
          <w:sz w:val="18"/>
          <w:szCs w:val="22"/>
          <w:lang w:val="uk-UA" w:eastAsia="uk-UA"/>
        </w:rPr>
        <w:tab/>
      </w:r>
    </w:p>
    <w:sectPr w:rsidR="0051422A" w:rsidRPr="0002419B" w:rsidSect="0049368C">
      <w:headerReference w:type="even" r:id="rId9"/>
      <w:headerReference w:type="default" r:id="rId10"/>
      <w:pgSz w:w="12240" w:h="15840" w:code="1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E9" w:rsidRDefault="008C2AE9">
      <w:r>
        <w:separator/>
      </w:r>
    </w:p>
  </w:endnote>
  <w:endnote w:type="continuationSeparator" w:id="0">
    <w:p w:rsidR="008C2AE9" w:rsidRDefault="008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E9" w:rsidRDefault="008C2AE9">
      <w:r>
        <w:separator/>
      </w:r>
    </w:p>
  </w:footnote>
  <w:footnote w:type="continuationSeparator" w:id="0">
    <w:p w:rsidR="008C2AE9" w:rsidRDefault="008C2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CA" w:rsidRDefault="00BD3661" w:rsidP="004936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9CA" w:rsidRDefault="0070369D" w:rsidP="007C31B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CA" w:rsidRDefault="00BD3661" w:rsidP="00FE43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69D">
      <w:rPr>
        <w:rStyle w:val="PageNumber"/>
        <w:noProof/>
      </w:rPr>
      <w:t>2</w:t>
    </w:r>
    <w:r>
      <w:rPr>
        <w:rStyle w:val="PageNumber"/>
      </w:rPr>
      <w:fldChar w:fldCharType="end"/>
    </w:r>
  </w:p>
  <w:p w:rsidR="008B09CA" w:rsidRPr="00542036" w:rsidRDefault="0070369D" w:rsidP="0049368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A31"/>
    <w:multiLevelType w:val="hybridMultilevel"/>
    <w:tmpl w:val="95E88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36E1"/>
    <w:multiLevelType w:val="hybridMultilevel"/>
    <w:tmpl w:val="BBEE5068"/>
    <w:lvl w:ilvl="0" w:tplc="1CD8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B65A31"/>
    <w:multiLevelType w:val="hybridMultilevel"/>
    <w:tmpl w:val="D0F61B64"/>
    <w:lvl w:ilvl="0" w:tplc="29168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372602"/>
    <w:multiLevelType w:val="hybridMultilevel"/>
    <w:tmpl w:val="EE9A1748"/>
    <w:lvl w:ilvl="0" w:tplc="A34AB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5249"/>
    <w:multiLevelType w:val="hybridMultilevel"/>
    <w:tmpl w:val="ED06BE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C26"/>
    <w:multiLevelType w:val="hybridMultilevel"/>
    <w:tmpl w:val="391A2B42"/>
    <w:lvl w:ilvl="0" w:tplc="B3B6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4"/>
    <w:rsid w:val="0002419B"/>
    <w:rsid w:val="000D2EFA"/>
    <w:rsid w:val="001737F1"/>
    <w:rsid w:val="001959B4"/>
    <w:rsid w:val="001A6027"/>
    <w:rsid w:val="001B5E67"/>
    <w:rsid w:val="001B5FFB"/>
    <w:rsid w:val="00225D53"/>
    <w:rsid w:val="002A4AE2"/>
    <w:rsid w:val="003213F5"/>
    <w:rsid w:val="003263FA"/>
    <w:rsid w:val="003A4574"/>
    <w:rsid w:val="0040408B"/>
    <w:rsid w:val="004237A3"/>
    <w:rsid w:val="00456837"/>
    <w:rsid w:val="00470F98"/>
    <w:rsid w:val="004B2C13"/>
    <w:rsid w:val="0051642B"/>
    <w:rsid w:val="00681DA8"/>
    <w:rsid w:val="006B51CD"/>
    <w:rsid w:val="006C75A9"/>
    <w:rsid w:val="0070369D"/>
    <w:rsid w:val="00722309"/>
    <w:rsid w:val="00764193"/>
    <w:rsid w:val="007E3902"/>
    <w:rsid w:val="00801D8B"/>
    <w:rsid w:val="0080701F"/>
    <w:rsid w:val="00825A32"/>
    <w:rsid w:val="0086242F"/>
    <w:rsid w:val="008811B2"/>
    <w:rsid w:val="008874EA"/>
    <w:rsid w:val="00893EDB"/>
    <w:rsid w:val="008C2AE9"/>
    <w:rsid w:val="00947BF2"/>
    <w:rsid w:val="009E1254"/>
    <w:rsid w:val="00A15A4D"/>
    <w:rsid w:val="00AB3B41"/>
    <w:rsid w:val="00AE19CF"/>
    <w:rsid w:val="00BD3661"/>
    <w:rsid w:val="00BE5265"/>
    <w:rsid w:val="00BF1368"/>
    <w:rsid w:val="00C91C56"/>
    <w:rsid w:val="00D67BEF"/>
    <w:rsid w:val="00DB3760"/>
    <w:rsid w:val="00DC47AB"/>
    <w:rsid w:val="00DD26A4"/>
    <w:rsid w:val="00E05E63"/>
    <w:rsid w:val="00E32025"/>
    <w:rsid w:val="00F14015"/>
    <w:rsid w:val="00FB719C"/>
    <w:rsid w:val="00FC79A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027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rsid w:val="001A60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A6027"/>
  </w:style>
  <w:style w:type="character" w:styleId="Hyperlink">
    <w:name w:val="Hyperlink"/>
    <w:basedOn w:val="DefaultParagraphFont"/>
    <w:uiPriority w:val="99"/>
    <w:rsid w:val="001A6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0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5A4D"/>
  </w:style>
  <w:style w:type="paragraph" w:styleId="BalloonText">
    <w:name w:val="Balloon Text"/>
    <w:basedOn w:val="Normal"/>
    <w:link w:val="BalloonTextChar"/>
    <w:uiPriority w:val="99"/>
    <w:semiHidden/>
    <w:unhideWhenUsed/>
    <w:rsid w:val="00801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027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rsid w:val="001A60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A6027"/>
  </w:style>
  <w:style w:type="character" w:styleId="Hyperlink">
    <w:name w:val="Hyperlink"/>
    <w:basedOn w:val="DefaultParagraphFont"/>
    <w:uiPriority w:val="99"/>
    <w:rsid w:val="001A6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0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5A4D"/>
  </w:style>
  <w:style w:type="paragraph" w:styleId="BalloonText">
    <w:name w:val="Balloon Text"/>
    <w:basedOn w:val="Normal"/>
    <w:link w:val="BalloonTextChar"/>
    <w:uiPriority w:val="99"/>
    <w:semiHidden/>
    <w:unhideWhenUsed/>
    <w:rsid w:val="00801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8391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 Melen</cp:lastModifiedBy>
  <cp:revision>2</cp:revision>
  <cp:lastPrinted>2017-03-13T07:33:00Z</cp:lastPrinted>
  <dcterms:created xsi:type="dcterms:W3CDTF">2017-03-20T08:47:00Z</dcterms:created>
  <dcterms:modified xsi:type="dcterms:W3CDTF">2017-03-20T08:47:00Z</dcterms:modified>
</cp:coreProperties>
</file>