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397"/>
        <w:gridCol w:w="3359"/>
        <w:gridCol w:w="2367"/>
      </w:tblGrid>
      <w:tr w:rsidR="00BF07C6" w:rsidRPr="00A83F6C" w14:paraId="6AACE192" w14:textId="77777777" w:rsidTr="00E504A3">
        <w:tc>
          <w:tcPr>
            <w:tcW w:w="3397" w:type="dxa"/>
          </w:tcPr>
          <w:p w14:paraId="31E698D9" w14:textId="576445D5" w:rsidR="003F19DE" w:rsidRPr="00A83F6C" w:rsidRDefault="00BF07C6" w:rsidP="00041452">
            <w:pPr>
              <w:shd w:val="clear" w:color="auto" w:fill="FFFFFF"/>
              <w:ind w:left="450" w:right="450"/>
              <w:jc w:val="center"/>
              <w:textAlignment w:val="baseline"/>
              <w:rPr>
                <w:rFonts w:ascii="Arial" w:hAnsi="Arial" w:cs="Arial"/>
                <w:noProof/>
                <w:sz w:val="22"/>
                <w:szCs w:val="22"/>
                <w:lang w:val="uk-UA"/>
              </w:rPr>
            </w:pPr>
            <w:r w:rsidRPr="00A83F6C">
              <w:rPr>
                <w:rFonts w:ascii="Arial" w:hAnsi="Arial" w:cs="Arial"/>
                <w:b/>
                <w:bCs/>
                <w:noProof/>
                <w:color w:val="000000"/>
                <w:sz w:val="22"/>
                <w:szCs w:val="22"/>
                <w:bdr w:val="none" w:sz="0" w:space="0" w:color="auto" w:frame="1"/>
                <w:lang w:val="uk-UA" w:eastAsia="uk-UA"/>
              </w:rPr>
              <w:t xml:space="preserve">Виставлений варіант на обговорення </w:t>
            </w:r>
          </w:p>
        </w:tc>
        <w:tc>
          <w:tcPr>
            <w:tcW w:w="3359" w:type="dxa"/>
          </w:tcPr>
          <w:p w14:paraId="7682916C" w14:textId="3CD7EAC0" w:rsidR="003F19DE" w:rsidRPr="00A83F6C" w:rsidRDefault="00BF07C6" w:rsidP="00041452">
            <w:pPr>
              <w:jc w:val="center"/>
              <w:rPr>
                <w:rFonts w:ascii="Arial" w:hAnsi="Arial" w:cs="Arial"/>
                <w:b/>
                <w:noProof/>
                <w:sz w:val="22"/>
                <w:szCs w:val="22"/>
                <w:lang w:val="uk-UA"/>
              </w:rPr>
            </w:pPr>
            <w:r w:rsidRPr="00A83F6C">
              <w:rPr>
                <w:rFonts w:ascii="Arial" w:hAnsi="Arial" w:cs="Arial"/>
                <w:b/>
                <w:noProof/>
                <w:sz w:val="22"/>
                <w:szCs w:val="22"/>
                <w:lang w:val="uk-UA"/>
              </w:rPr>
              <w:t>Пропозиції ЕПЛ</w:t>
            </w:r>
          </w:p>
        </w:tc>
        <w:tc>
          <w:tcPr>
            <w:tcW w:w="2367" w:type="dxa"/>
          </w:tcPr>
          <w:p w14:paraId="0A11DF36" w14:textId="27B49341" w:rsidR="003F19DE" w:rsidRPr="00A83F6C" w:rsidRDefault="00674DB7" w:rsidP="005379F8">
            <w:pPr>
              <w:jc w:val="center"/>
              <w:rPr>
                <w:rFonts w:ascii="Arial" w:hAnsi="Arial" w:cs="Arial"/>
                <w:b/>
                <w:noProof/>
                <w:sz w:val="22"/>
                <w:szCs w:val="22"/>
                <w:lang w:val="uk-UA"/>
              </w:rPr>
            </w:pPr>
            <w:r w:rsidRPr="00A83F6C">
              <w:rPr>
                <w:rFonts w:ascii="Arial" w:hAnsi="Arial" w:cs="Arial"/>
                <w:b/>
                <w:noProof/>
                <w:sz w:val="22"/>
                <w:szCs w:val="22"/>
                <w:lang w:val="uk-UA"/>
              </w:rPr>
              <w:t xml:space="preserve">Коментар </w:t>
            </w:r>
            <w:r w:rsidR="003A23CA" w:rsidRPr="00A83F6C">
              <w:rPr>
                <w:rFonts w:ascii="Arial" w:hAnsi="Arial" w:cs="Arial"/>
                <w:b/>
                <w:noProof/>
                <w:sz w:val="22"/>
                <w:szCs w:val="22"/>
                <w:lang w:val="uk-UA"/>
              </w:rPr>
              <w:t>ЕПЛ</w:t>
            </w:r>
          </w:p>
        </w:tc>
      </w:tr>
      <w:tr w:rsidR="00BF07C6" w:rsidRPr="00672F9A" w14:paraId="0E056589" w14:textId="77777777" w:rsidTr="00E504A3">
        <w:tc>
          <w:tcPr>
            <w:tcW w:w="3397" w:type="dxa"/>
          </w:tcPr>
          <w:p w14:paraId="05569EC5" w14:textId="77777777" w:rsidR="000D7A92" w:rsidRPr="00A83F6C" w:rsidRDefault="000D7A92" w:rsidP="00041452">
            <w:pPr>
              <w:shd w:val="clear" w:color="auto" w:fill="FFFFFF"/>
              <w:contextualSpacing/>
              <w:jc w:val="center"/>
              <w:textAlignment w:val="baseline"/>
              <w:rPr>
                <w:rFonts w:ascii="Arial" w:eastAsia="Times New Roman" w:hAnsi="Arial" w:cs="Arial"/>
                <w:b/>
                <w:bCs/>
                <w:noProof/>
                <w:color w:val="000000"/>
                <w:sz w:val="22"/>
                <w:szCs w:val="22"/>
                <w:bdr w:val="none" w:sz="0" w:space="0" w:color="auto" w:frame="1"/>
                <w:lang w:val="uk-UA" w:eastAsia="uk-UA"/>
              </w:rPr>
            </w:pPr>
            <w:r w:rsidRPr="00A83F6C">
              <w:rPr>
                <w:rFonts w:ascii="Arial" w:eastAsia="Times New Roman" w:hAnsi="Arial" w:cs="Arial"/>
                <w:b/>
                <w:bCs/>
                <w:noProof/>
                <w:color w:val="000000"/>
                <w:sz w:val="22"/>
                <w:szCs w:val="22"/>
                <w:bdr w:val="none" w:sz="0" w:space="0" w:color="auto" w:frame="1"/>
                <w:lang w:val="uk-UA" w:eastAsia="uk-UA"/>
              </w:rPr>
              <w:t>ПОРЯДОК</w:t>
            </w:r>
          </w:p>
          <w:p w14:paraId="6715A14A" w14:textId="77777777" w:rsidR="000D7A92" w:rsidRPr="00A83F6C" w:rsidRDefault="000D7A92" w:rsidP="00041452">
            <w:pPr>
              <w:shd w:val="clear" w:color="auto" w:fill="FFFFFF"/>
              <w:contextualSpacing/>
              <w:jc w:val="center"/>
              <w:textAlignment w:val="baseline"/>
              <w:rPr>
                <w:rFonts w:ascii="Arial" w:hAnsi="Arial" w:cs="Arial"/>
                <w:noProof/>
                <w:color w:val="000000"/>
                <w:sz w:val="22"/>
                <w:szCs w:val="22"/>
                <w:shd w:val="clear" w:color="auto" w:fill="FFFFFF"/>
                <w:lang w:val="uk-UA"/>
              </w:rPr>
            </w:pPr>
            <w:r w:rsidRPr="00A83F6C">
              <w:rPr>
                <w:rFonts w:ascii="Arial" w:eastAsia="Times New Roman" w:hAnsi="Arial" w:cs="Arial"/>
                <w:b/>
                <w:bCs/>
                <w:noProof/>
                <w:color w:val="000000"/>
                <w:sz w:val="22"/>
                <w:szCs w:val="22"/>
                <w:bdr w:val="none" w:sz="0" w:space="0" w:color="auto" w:frame="1"/>
                <w:lang w:val="uk-UA" w:eastAsia="uk-UA"/>
              </w:rPr>
              <w:t>проведення громадських слухань у процесі оцінки впливу на довкілля</w:t>
            </w:r>
            <w:bookmarkStart w:id="0" w:name="o13"/>
            <w:bookmarkEnd w:id="0"/>
          </w:p>
          <w:p w14:paraId="43D976CA" w14:textId="77777777" w:rsidR="000D7A92" w:rsidRPr="00A83F6C" w:rsidRDefault="000D7A92" w:rsidP="00041452">
            <w:pPr>
              <w:spacing w:after="120"/>
              <w:ind w:left="709" w:firstLine="709"/>
              <w:contextualSpacing/>
              <w:jc w:val="both"/>
              <w:rPr>
                <w:rFonts w:ascii="Arial" w:hAnsi="Arial" w:cs="Arial"/>
                <w:b/>
                <w:noProof/>
                <w:color w:val="000000" w:themeColor="text1"/>
                <w:sz w:val="22"/>
                <w:szCs w:val="22"/>
                <w:lang w:val="uk-UA"/>
              </w:rPr>
            </w:pPr>
          </w:p>
          <w:p w14:paraId="08AEF43C" w14:textId="77777777" w:rsidR="000D7A92" w:rsidRPr="00A83F6C" w:rsidRDefault="000D7A92" w:rsidP="005379F8">
            <w:pPr>
              <w:spacing w:after="120"/>
              <w:contextualSpacing/>
              <w:jc w:val="both"/>
              <w:rPr>
                <w:rFonts w:ascii="Arial" w:hAnsi="Arial" w:cs="Arial"/>
                <w:noProof/>
                <w:color w:val="000000" w:themeColor="text1"/>
                <w:sz w:val="22"/>
                <w:szCs w:val="22"/>
                <w:lang w:val="uk-UA"/>
              </w:rPr>
            </w:pPr>
            <w:r w:rsidRPr="00A83F6C">
              <w:rPr>
                <w:rFonts w:ascii="Arial" w:hAnsi="Arial" w:cs="Arial"/>
                <w:noProof/>
                <w:color w:val="000000"/>
                <w:sz w:val="22"/>
                <w:szCs w:val="22"/>
                <w:shd w:val="clear" w:color="auto" w:fill="FFFFFF"/>
                <w:lang w:val="uk-UA"/>
              </w:rPr>
              <w:t>У цьому Порядку терміни вживаються у значеннях, наведених у Законі України «Про оцінку впливу на довкілля»</w:t>
            </w:r>
            <w:r w:rsidRPr="00A83F6C">
              <w:rPr>
                <w:rFonts w:ascii="Arial" w:hAnsi="Arial" w:cs="Arial"/>
                <w:noProof/>
                <w:color w:val="000000" w:themeColor="text1"/>
                <w:sz w:val="22"/>
                <w:szCs w:val="22"/>
                <w:lang w:val="uk-UA"/>
              </w:rPr>
              <w:t xml:space="preserve">. </w:t>
            </w:r>
          </w:p>
          <w:p w14:paraId="3ADC54E6" w14:textId="77777777" w:rsidR="003F19DE" w:rsidRPr="00A83F6C" w:rsidRDefault="003F19DE" w:rsidP="00041452">
            <w:pPr>
              <w:rPr>
                <w:rFonts w:ascii="Arial" w:hAnsi="Arial" w:cs="Arial"/>
                <w:noProof/>
                <w:sz w:val="22"/>
                <w:szCs w:val="22"/>
                <w:lang w:val="uk-UA"/>
              </w:rPr>
            </w:pPr>
          </w:p>
        </w:tc>
        <w:tc>
          <w:tcPr>
            <w:tcW w:w="3359" w:type="dxa"/>
          </w:tcPr>
          <w:p w14:paraId="31B1D0C0" w14:textId="77777777" w:rsidR="000D7A92" w:rsidRPr="00A83F6C" w:rsidRDefault="000D7A92" w:rsidP="00041452">
            <w:pPr>
              <w:shd w:val="clear" w:color="auto" w:fill="FFFFFF"/>
              <w:contextualSpacing/>
              <w:jc w:val="center"/>
              <w:textAlignment w:val="baseline"/>
              <w:rPr>
                <w:rFonts w:ascii="Arial" w:eastAsia="Times New Roman" w:hAnsi="Arial" w:cs="Arial"/>
                <w:b/>
                <w:bCs/>
                <w:noProof/>
                <w:color w:val="000000"/>
                <w:sz w:val="22"/>
                <w:szCs w:val="22"/>
                <w:bdr w:val="none" w:sz="0" w:space="0" w:color="auto" w:frame="1"/>
                <w:lang w:val="uk-UA" w:eastAsia="uk-UA"/>
              </w:rPr>
            </w:pPr>
            <w:r w:rsidRPr="00A83F6C">
              <w:rPr>
                <w:rFonts w:ascii="Arial" w:eastAsia="Times New Roman" w:hAnsi="Arial" w:cs="Arial"/>
                <w:b/>
                <w:bCs/>
                <w:noProof/>
                <w:color w:val="000000"/>
                <w:sz w:val="22"/>
                <w:szCs w:val="22"/>
                <w:bdr w:val="none" w:sz="0" w:space="0" w:color="auto" w:frame="1"/>
                <w:lang w:val="uk-UA" w:eastAsia="uk-UA"/>
              </w:rPr>
              <w:t>ПОРЯДОК</w:t>
            </w:r>
          </w:p>
          <w:p w14:paraId="0DA21D63" w14:textId="77777777" w:rsidR="000D7A92" w:rsidRPr="00A83F6C" w:rsidRDefault="000D7A92" w:rsidP="00041452">
            <w:pPr>
              <w:shd w:val="clear" w:color="auto" w:fill="FFFFFF"/>
              <w:contextualSpacing/>
              <w:jc w:val="center"/>
              <w:textAlignment w:val="baseline"/>
              <w:rPr>
                <w:rFonts w:ascii="Arial" w:hAnsi="Arial" w:cs="Arial"/>
                <w:noProof/>
                <w:color w:val="000000"/>
                <w:sz w:val="22"/>
                <w:szCs w:val="22"/>
                <w:shd w:val="clear" w:color="auto" w:fill="FFFFFF"/>
                <w:lang w:val="uk-UA"/>
              </w:rPr>
            </w:pPr>
            <w:r w:rsidRPr="00A83F6C">
              <w:rPr>
                <w:rFonts w:ascii="Arial" w:eastAsia="Times New Roman" w:hAnsi="Arial" w:cs="Arial"/>
                <w:b/>
                <w:bCs/>
                <w:noProof/>
                <w:color w:val="000000"/>
                <w:sz w:val="22"/>
                <w:szCs w:val="22"/>
                <w:bdr w:val="none" w:sz="0" w:space="0" w:color="auto" w:frame="1"/>
                <w:lang w:val="uk-UA" w:eastAsia="uk-UA"/>
              </w:rPr>
              <w:t>проведення громадських слухань у процесі оцінки впливу на довкілля</w:t>
            </w:r>
          </w:p>
          <w:p w14:paraId="1F4E04F5" w14:textId="77777777" w:rsidR="000D7A92" w:rsidRPr="00A83F6C" w:rsidRDefault="000D7A92" w:rsidP="00041452">
            <w:pPr>
              <w:spacing w:after="120"/>
              <w:ind w:left="709" w:firstLine="709"/>
              <w:contextualSpacing/>
              <w:jc w:val="both"/>
              <w:rPr>
                <w:rFonts w:ascii="Arial" w:hAnsi="Arial" w:cs="Arial"/>
                <w:b/>
                <w:noProof/>
                <w:color w:val="000000" w:themeColor="text1"/>
                <w:sz w:val="22"/>
                <w:szCs w:val="22"/>
                <w:lang w:val="uk-UA"/>
              </w:rPr>
            </w:pPr>
          </w:p>
          <w:p w14:paraId="0F20E201" w14:textId="77777777" w:rsidR="000D7A92" w:rsidRPr="00C81C4F" w:rsidRDefault="000D7A92" w:rsidP="00041452">
            <w:pPr>
              <w:spacing w:after="120"/>
              <w:contextualSpacing/>
              <w:jc w:val="both"/>
              <w:rPr>
                <w:rFonts w:ascii="Arial" w:hAnsi="Arial" w:cs="Arial"/>
                <w:b/>
                <w:noProof/>
                <w:color w:val="000000" w:themeColor="text1"/>
                <w:sz w:val="22"/>
                <w:szCs w:val="22"/>
                <w:lang w:val="uk-UA"/>
              </w:rPr>
            </w:pPr>
            <w:r w:rsidRPr="00C81C4F">
              <w:rPr>
                <w:rFonts w:ascii="Arial" w:hAnsi="Arial" w:cs="Arial"/>
                <w:b/>
                <w:noProof/>
                <w:color w:val="000000"/>
                <w:sz w:val="22"/>
                <w:szCs w:val="22"/>
                <w:shd w:val="clear" w:color="auto" w:fill="FFFFFF"/>
                <w:lang w:val="uk-UA"/>
              </w:rPr>
              <w:t>Цей порядок визначає механізм врахування громадських інтересів під час оцінки впливу на довкілля у формі громадських слухань</w:t>
            </w:r>
            <w:r w:rsidRPr="00C81C4F">
              <w:rPr>
                <w:rFonts w:ascii="Arial" w:hAnsi="Arial" w:cs="Arial"/>
                <w:b/>
                <w:noProof/>
                <w:color w:val="000000" w:themeColor="text1"/>
                <w:sz w:val="22"/>
                <w:szCs w:val="22"/>
                <w:lang w:val="uk-UA"/>
              </w:rPr>
              <w:t>.</w:t>
            </w:r>
          </w:p>
          <w:p w14:paraId="7B8B0046" w14:textId="77777777" w:rsidR="003F19DE" w:rsidRPr="00A83F6C" w:rsidRDefault="003F19DE" w:rsidP="00041452">
            <w:pPr>
              <w:rPr>
                <w:rFonts w:ascii="Arial" w:hAnsi="Arial" w:cs="Arial"/>
                <w:noProof/>
                <w:sz w:val="22"/>
                <w:szCs w:val="22"/>
                <w:lang w:val="uk-UA"/>
              </w:rPr>
            </w:pPr>
          </w:p>
        </w:tc>
        <w:tc>
          <w:tcPr>
            <w:tcW w:w="2367" w:type="dxa"/>
          </w:tcPr>
          <w:p w14:paraId="1E967B50" w14:textId="77777777" w:rsidR="003F19DE" w:rsidRPr="00A83F6C" w:rsidRDefault="003F19DE" w:rsidP="00041452">
            <w:pPr>
              <w:rPr>
                <w:rFonts w:ascii="Arial" w:hAnsi="Arial" w:cs="Arial"/>
                <w:noProof/>
                <w:sz w:val="22"/>
                <w:szCs w:val="22"/>
                <w:lang w:val="uk-UA"/>
              </w:rPr>
            </w:pPr>
          </w:p>
        </w:tc>
      </w:tr>
      <w:tr w:rsidR="00BF07C6" w:rsidRPr="00672F9A" w14:paraId="664AD0BD" w14:textId="77777777" w:rsidTr="00E504A3">
        <w:tc>
          <w:tcPr>
            <w:tcW w:w="3397" w:type="dxa"/>
          </w:tcPr>
          <w:p w14:paraId="0014F876" w14:textId="77777777" w:rsidR="003F19DE" w:rsidRPr="00A83F6C" w:rsidRDefault="000D7A92" w:rsidP="00041452">
            <w:pPr>
              <w:rPr>
                <w:rFonts w:ascii="Arial" w:hAnsi="Arial" w:cs="Arial"/>
                <w:noProof/>
                <w:sz w:val="22"/>
                <w:szCs w:val="22"/>
                <w:lang w:val="uk-UA"/>
              </w:rPr>
            </w:pPr>
            <w:r w:rsidRPr="00A83F6C">
              <w:rPr>
                <w:rFonts w:ascii="Arial" w:hAnsi="Arial" w:cs="Arial"/>
                <w:noProof/>
                <w:sz w:val="22"/>
                <w:szCs w:val="22"/>
                <w:lang w:val="uk-UA"/>
              </w:rPr>
              <w:t>Не має</w:t>
            </w:r>
          </w:p>
        </w:tc>
        <w:tc>
          <w:tcPr>
            <w:tcW w:w="3359" w:type="dxa"/>
          </w:tcPr>
          <w:p w14:paraId="3F8C897B" w14:textId="093F39B4" w:rsidR="000D7A92" w:rsidRPr="00A83F6C" w:rsidRDefault="00F846AA" w:rsidP="00041452">
            <w:pPr>
              <w:jc w:val="both"/>
              <w:rPr>
                <w:rFonts w:ascii="Arial" w:eastAsia="Times New Roman" w:hAnsi="Arial" w:cs="Arial"/>
                <w:noProof/>
                <w:sz w:val="22"/>
                <w:szCs w:val="22"/>
                <w:lang w:val="uk-UA"/>
              </w:rPr>
            </w:pPr>
            <w:r w:rsidRPr="00A83F6C">
              <w:rPr>
                <w:rFonts w:ascii="Arial" w:hAnsi="Arial" w:cs="Arial"/>
                <w:noProof/>
                <w:color w:val="000000" w:themeColor="text1"/>
                <w:sz w:val="22"/>
                <w:szCs w:val="22"/>
                <w:lang w:val="uk-UA"/>
              </w:rPr>
              <w:t>Громадські слухання – це обов’язкова</w:t>
            </w:r>
            <w:r w:rsidR="000D7A92" w:rsidRPr="00A83F6C">
              <w:rPr>
                <w:rFonts w:ascii="Arial" w:hAnsi="Arial" w:cs="Arial"/>
                <w:noProof/>
                <w:color w:val="000000" w:themeColor="text1"/>
                <w:sz w:val="22"/>
                <w:szCs w:val="22"/>
                <w:lang w:val="uk-UA"/>
              </w:rPr>
              <w:t xml:space="preserve"> форм</w:t>
            </w:r>
            <w:r w:rsidRPr="00A83F6C">
              <w:rPr>
                <w:rFonts w:ascii="Arial" w:hAnsi="Arial" w:cs="Arial"/>
                <w:noProof/>
                <w:color w:val="000000" w:themeColor="text1"/>
                <w:sz w:val="22"/>
                <w:szCs w:val="22"/>
                <w:lang w:val="uk-UA"/>
              </w:rPr>
              <w:t>а</w:t>
            </w:r>
            <w:r w:rsidR="000D7A92" w:rsidRPr="00A83F6C">
              <w:rPr>
                <w:rFonts w:ascii="Arial" w:hAnsi="Arial" w:cs="Arial"/>
                <w:noProof/>
                <w:color w:val="000000" w:themeColor="text1"/>
                <w:sz w:val="22"/>
                <w:szCs w:val="22"/>
                <w:lang w:val="uk-UA"/>
              </w:rPr>
              <w:t xml:space="preserve"> громадського обговорення планов</w:t>
            </w:r>
            <w:r w:rsidR="004A57C3">
              <w:rPr>
                <w:rFonts w:ascii="Arial" w:hAnsi="Arial" w:cs="Arial"/>
                <w:noProof/>
                <w:color w:val="000000" w:themeColor="text1"/>
                <w:sz w:val="22"/>
                <w:szCs w:val="22"/>
                <w:lang w:val="uk-UA"/>
              </w:rPr>
              <w:t>ан</w:t>
            </w:r>
            <w:r w:rsidR="000D7A92" w:rsidRPr="00A83F6C">
              <w:rPr>
                <w:rFonts w:ascii="Arial" w:hAnsi="Arial" w:cs="Arial"/>
                <w:noProof/>
                <w:color w:val="000000" w:themeColor="text1"/>
                <w:sz w:val="22"/>
                <w:szCs w:val="22"/>
                <w:lang w:val="uk-UA"/>
              </w:rPr>
              <w:t>ої діяльності після подання звіту з оцінки впливу на довкілля</w:t>
            </w:r>
            <w:r w:rsidRPr="00A83F6C">
              <w:rPr>
                <w:rFonts w:ascii="Arial" w:hAnsi="Arial" w:cs="Arial"/>
                <w:noProof/>
                <w:color w:val="000000" w:themeColor="text1"/>
                <w:sz w:val="22"/>
                <w:szCs w:val="22"/>
                <w:lang w:val="uk-UA"/>
              </w:rPr>
              <w:t>.</w:t>
            </w:r>
          </w:p>
          <w:p w14:paraId="0D82F986" w14:textId="77777777" w:rsidR="003F19DE" w:rsidRPr="00A83F6C" w:rsidRDefault="003F19DE" w:rsidP="00041452">
            <w:pPr>
              <w:rPr>
                <w:rFonts w:ascii="Arial" w:hAnsi="Arial" w:cs="Arial"/>
                <w:noProof/>
                <w:sz w:val="22"/>
                <w:szCs w:val="22"/>
                <w:lang w:val="uk-UA"/>
              </w:rPr>
            </w:pPr>
          </w:p>
        </w:tc>
        <w:tc>
          <w:tcPr>
            <w:tcW w:w="2367" w:type="dxa"/>
          </w:tcPr>
          <w:p w14:paraId="74AB2F84" w14:textId="77777777" w:rsidR="003F19DE" w:rsidRPr="00A83F6C" w:rsidRDefault="003F19DE" w:rsidP="00041452">
            <w:pPr>
              <w:rPr>
                <w:rFonts w:ascii="Arial" w:hAnsi="Arial" w:cs="Arial"/>
                <w:noProof/>
                <w:sz w:val="22"/>
                <w:szCs w:val="22"/>
                <w:lang w:val="uk-UA"/>
              </w:rPr>
            </w:pPr>
          </w:p>
        </w:tc>
      </w:tr>
      <w:tr w:rsidR="00BF07C6" w:rsidRPr="00672F9A" w14:paraId="61496210" w14:textId="77777777" w:rsidTr="00E504A3">
        <w:tc>
          <w:tcPr>
            <w:tcW w:w="3397" w:type="dxa"/>
          </w:tcPr>
          <w:p w14:paraId="5F36D12E" w14:textId="238145C1" w:rsidR="003F19DE" w:rsidRPr="00A83F6C" w:rsidRDefault="00A10931" w:rsidP="00041452">
            <w:pPr>
              <w:rPr>
                <w:rFonts w:ascii="Arial" w:hAnsi="Arial" w:cs="Arial"/>
                <w:noProof/>
                <w:sz w:val="22"/>
                <w:szCs w:val="22"/>
                <w:lang w:val="uk-UA"/>
              </w:rPr>
            </w:pPr>
            <w:r w:rsidRPr="00A83F6C">
              <w:rPr>
                <w:rFonts w:ascii="Arial" w:hAnsi="Arial" w:cs="Arial"/>
                <w:noProof/>
                <w:sz w:val="22"/>
                <w:szCs w:val="22"/>
                <w:lang w:val="uk-UA"/>
              </w:rPr>
              <w:t>Не має.</w:t>
            </w:r>
          </w:p>
        </w:tc>
        <w:tc>
          <w:tcPr>
            <w:tcW w:w="3359" w:type="dxa"/>
          </w:tcPr>
          <w:p w14:paraId="3AEDBCBC" w14:textId="44505AA1" w:rsidR="00FD3740" w:rsidRPr="00A83F6C" w:rsidRDefault="00FD3740" w:rsidP="00041452">
            <w:pPr>
              <w:spacing w:after="120"/>
              <w:contextualSpacing/>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 xml:space="preserve">Громадські слухання є одним із </w:t>
            </w:r>
            <w:r w:rsidR="00F846AA" w:rsidRPr="00A83F6C">
              <w:rPr>
                <w:rFonts w:ascii="Arial" w:hAnsi="Arial" w:cs="Arial"/>
                <w:noProof/>
                <w:color w:val="000000" w:themeColor="text1"/>
                <w:sz w:val="22"/>
                <w:szCs w:val="22"/>
                <w:lang w:val="uk-UA"/>
              </w:rPr>
              <w:t xml:space="preserve">засобів </w:t>
            </w:r>
            <w:r w:rsidRPr="00A83F6C">
              <w:rPr>
                <w:rFonts w:ascii="Arial" w:hAnsi="Arial" w:cs="Arial"/>
                <w:noProof/>
                <w:color w:val="000000" w:themeColor="text1"/>
                <w:sz w:val="22"/>
                <w:szCs w:val="22"/>
                <w:lang w:val="uk-UA"/>
              </w:rPr>
              <w:t>забезпечення гласності оцінки впливу на довкілля.</w:t>
            </w:r>
          </w:p>
          <w:p w14:paraId="5503A87A" w14:textId="77777777" w:rsidR="003F19DE" w:rsidRPr="00A83F6C" w:rsidRDefault="003F19DE" w:rsidP="00041452">
            <w:pPr>
              <w:rPr>
                <w:rFonts w:ascii="Arial" w:hAnsi="Arial" w:cs="Arial"/>
                <w:noProof/>
                <w:sz w:val="22"/>
                <w:szCs w:val="22"/>
                <w:lang w:val="uk-UA"/>
              </w:rPr>
            </w:pPr>
          </w:p>
        </w:tc>
        <w:tc>
          <w:tcPr>
            <w:tcW w:w="2367" w:type="dxa"/>
          </w:tcPr>
          <w:p w14:paraId="08633733" w14:textId="77777777" w:rsidR="003F19DE" w:rsidRPr="00A83F6C" w:rsidRDefault="003F19DE" w:rsidP="00041452">
            <w:pPr>
              <w:rPr>
                <w:rFonts w:ascii="Arial" w:hAnsi="Arial" w:cs="Arial"/>
                <w:noProof/>
                <w:sz w:val="22"/>
                <w:szCs w:val="22"/>
                <w:lang w:val="uk-UA"/>
              </w:rPr>
            </w:pPr>
          </w:p>
        </w:tc>
      </w:tr>
      <w:tr w:rsidR="00BF07C6" w:rsidRPr="00672F9A" w14:paraId="3A7F92AF" w14:textId="77777777" w:rsidTr="00E504A3">
        <w:trPr>
          <w:trHeight w:val="2744"/>
        </w:trPr>
        <w:tc>
          <w:tcPr>
            <w:tcW w:w="3397" w:type="dxa"/>
          </w:tcPr>
          <w:p w14:paraId="315DD2C2" w14:textId="77777777" w:rsidR="00A10931" w:rsidRPr="00A83F6C" w:rsidRDefault="00A10931" w:rsidP="00041452">
            <w:pPr>
              <w:spacing w:after="120"/>
              <w:contextualSpacing/>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lastRenderedPageBreak/>
              <w:t>Уповноважений центральний орган або уповноважений територіальний орган забезпечує проведення громадських слухань у процесі громадського обговорення оцінки впливу на довкілля шляхом:</w:t>
            </w:r>
          </w:p>
          <w:p w14:paraId="776B278D" w14:textId="77777777" w:rsidR="00A10931" w:rsidRPr="00A83F6C" w:rsidRDefault="00A10931" w:rsidP="00041452">
            <w:pPr>
              <w:tabs>
                <w:tab w:val="left" w:pos="1134"/>
              </w:tabs>
              <w:spacing w:after="120"/>
              <w:ind w:firstLine="709"/>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внесення до Єдиного реєстру з оцінки впливу на довкілля оголошення про початок громадського обговорення, а в разі необхідності – оголошення про проведення додаткових громадських слухань;</w:t>
            </w:r>
          </w:p>
          <w:p w14:paraId="64D94C93" w14:textId="77777777" w:rsidR="00A10931" w:rsidRPr="00A83F6C" w:rsidRDefault="00A10931" w:rsidP="00041452">
            <w:pPr>
              <w:tabs>
                <w:tab w:val="left" w:pos="1134"/>
              </w:tabs>
              <w:spacing w:after="120"/>
              <w:ind w:firstLine="709"/>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проведення громадських слухань;</w:t>
            </w:r>
          </w:p>
          <w:p w14:paraId="7F5B8315" w14:textId="77777777" w:rsidR="00A10931" w:rsidRPr="00A83F6C" w:rsidRDefault="00A10931" w:rsidP="00041452">
            <w:pPr>
              <w:tabs>
                <w:tab w:val="left" w:pos="1134"/>
              </w:tabs>
              <w:spacing w:after="120"/>
              <w:ind w:firstLine="709"/>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розгляду, врахування, часткового врахування чи обґрунтованого відхилення зауважень та пропозицій громадськості, отриманих під час громадських слухань, а також у письмовій формі протягом всього строку громадського обговорення.</w:t>
            </w:r>
          </w:p>
          <w:p w14:paraId="74C0BB1B" w14:textId="77777777" w:rsidR="00A10931" w:rsidRPr="00A83F6C" w:rsidRDefault="00A10931" w:rsidP="00041452">
            <w:pPr>
              <w:tabs>
                <w:tab w:val="left" w:pos="1134"/>
              </w:tabs>
              <w:spacing w:after="120"/>
              <w:ind w:firstLine="709"/>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підготовки і оприлюднення через внесення до Єдиного реєстру з оцінки впливу на довкілля Звіту про громадське обговорення.</w:t>
            </w:r>
          </w:p>
          <w:p w14:paraId="5743E50A" w14:textId="20D6EC07" w:rsidR="003F19DE" w:rsidRPr="00A83F6C" w:rsidRDefault="00A10931" w:rsidP="00041452">
            <w:pPr>
              <w:rPr>
                <w:rFonts w:ascii="Arial" w:hAnsi="Arial" w:cs="Arial"/>
                <w:noProof/>
                <w:sz w:val="22"/>
                <w:szCs w:val="22"/>
                <w:lang w:val="uk-UA"/>
              </w:rPr>
            </w:pPr>
            <w:r w:rsidRPr="00A83F6C">
              <w:rPr>
                <w:rFonts w:ascii="Arial" w:hAnsi="Arial" w:cs="Arial"/>
                <w:noProof/>
                <w:color w:val="000000" w:themeColor="text1"/>
                <w:sz w:val="22"/>
                <w:szCs w:val="22"/>
                <w:lang w:val="uk-UA"/>
              </w:rPr>
              <w:lastRenderedPageBreak/>
              <w:t>Уповноважений орган може делегувати проведення громадських слухань організатору громадських слухань.</w:t>
            </w:r>
          </w:p>
        </w:tc>
        <w:tc>
          <w:tcPr>
            <w:tcW w:w="3359" w:type="dxa"/>
          </w:tcPr>
          <w:p w14:paraId="62B699AE" w14:textId="77777777" w:rsidR="003F19DE" w:rsidRPr="00A83F6C" w:rsidRDefault="003F19DE" w:rsidP="00C81C4F">
            <w:pPr>
              <w:tabs>
                <w:tab w:val="left" w:pos="1134"/>
              </w:tabs>
              <w:spacing w:after="120"/>
              <w:ind w:firstLine="709"/>
              <w:contextualSpacing/>
              <w:jc w:val="both"/>
              <w:rPr>
                <w:rFonts w:ascii="Arial" w:hAnsi="Arial" w:cs="Arial"/>
                <w:noProof/>
                <w:sz w:val="22"/>
                <w:szCs w:val="22"/>
                <w:lang w:val="uk-UA"/>
              </w:rPr>
            </w:pPr>
          </w:p>
        </w:tc>
        <w:tc>
          <w:tcPr>
            <w:tcW w:w="2367" w:type="dxa"/>
          </w:tcPr>
          <w:p w14:paraId="12329B61" w14:textId="77777777" w:rsidR="003F19DE" w:rsidRPr="00A83F6C" w:rsidRDefault="003F19DE" w:rsidP="00041452">
            <w:pPr>
              <w:rPr>
                <w:rFonts w:ascii="Arial" w:hAnsi="Arial" w:cs="Arial"/>
                <w:noProof/>
                <w:sz w:val="22"/>
                <w:szCs w:val="22"/>
                <w:lang w:val="uk-UA"/>
              </w:rPr>
            </w:pPr>
          </w:p>
        </w:tc>
      </w:tr>
      <w:tr w:rsidR="00BF07C6" w:rsidRPr="00672F9A" w14:paraId="167A3D6B" w14:textId="77777777" w:rsidTr="00E504A3">
        <w:tc>
          <w:tcPr>
            <w:tcW w:w="3397" w:type="dxa"/>
          </w:tcPr>
          <w:p w14:paraId="5B3C5283" w14:textId="77777777" w:rsidR="00A10931" w:rsidRPr="00A83F6C" w:rsidRDefault="00A10931" w:rsidP="00041452">
            <w:pPr>
              <w:tabs>
                <w:tab w:val="left" w:pos="1134"/>
              </w:tabs>
              <w:spacing w:after="120"/>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lastRenderedPageBreak/>
              <w:t>Організатор громадських слухань обирається уповноваженим органом один раз на рік шляхом проведення публічних закупівель. В разі проведення уповноваженим органом громадських слухань самостійно, він виконує усі функції, передбачені цим Порядком для Організатора громадських слухань.</w:t>
            </w:r>
          </w:p>
          <w:p w14:paraId="4B2B1120" w14:textId="77777777" w:rsidR="003F19DE" w:rsidRPr="00A83F6C" w:rsidRDefault="003F19DE" w:rsidP="00041452">
            <w:pPr>
              <w:rPr>
                <w:rFonts w:ascii="Arial" w:hAnsi="Arial" w:cs="Arial"/>
                <w:noProof/>
                <w:sz w:val="22"/>
                <w:szCs w:val="22"/>
                <w:lang w:val="uk-UA"/>
              </w:rPr>
            </w:pPr>
          </w:p>
        </w:tc>
        <w:tc>
          <w:tcPr>
            <w:tcW w:w="3359" w:type="dxa"/>
          </w:tcPr>
          <w:p w14:paraId="4E3CD263" w14:textId="77777777" w:rsidR="003F19DE" w:rsidRPr="00A83F6C" w:rsidRDefault="003F19DE" w:rsidP="00C81C4F">
            <w:pPr>
              <w:tabs>
                <w:tab w:val="left" w:pos="1134"/>
              </w:tabs>
              <w:spacing w:after="120"/>
              <w:jc w:val="both"/>
              <w:rPr>
                <w:rFonts w:ascii="Arial" w:hAnsi="Arial" w:cs="Arial"/>
                <w:noProof/>
                <w:sz w:val="22"/>
                <w:szCs w:val="22"/>
                <w:lang w:val="uk-UA"/>
              </w:rPr>
            </w:pPr>
          </w:p>
        </w:tc>
        <w:tc>
          <w:tcPr>
            <w:tcW w:w="2367" w:type="dxa"/>
          </w:tcPr>
          <w:p w14:paraId="0E601109" w14:textId="1E57ECBF" w:rsidR="003F19DE" w:rsidRPr="00A83F6C" w:rsidRDefault="00341C4D" w:rsidP="00F3072D">
            <w:pPr>
              <w:rPr>
                <w:rFonts w:ascii="Arial" w:hAnsi="Arial" w:cs="Arial"/>
                <w:noProof/>
                <w:sz w:val="22"/>
                <w:szCs w:val="22"/>
                <w:lang w:val="uk-UA"/>
              </w:rPr>
            </w:pPr>
            <w:r w:rsidRPr="00A83F6C">
              <w:rPr>
                <w:rFonts w:ascii="Arial" w:hAnsi="Arial" w:cs="Arial"/>
                <w:noProof/>
                <w:sz w:val="22"/>
                <w:szCs w:val="22"/>
                <w:lang w:val="uk-UA"/>
              </w:rPr>
              <w:t>Публічні закупілві не можливо провести без зазначення конткретно</w:t>
            </w:r>
            <w:r w:rsidR="003B72F9">
              <w:rPr>
                <w:rFonts w:ascii="Arial" w:hAnsi="Arial" w:cs="Arial"/>
                <w:noProof/>
                <w:sz w:val="22"/>
                <w:szCs w:val="22"/>
                <w:lang w:val="uk-UA"/>
              </w:rPr>
              <w:t>ї</w:t>
            </w:r>
            <w:r w:rsidRPr="00A83F6C">
              <w:rPr>
                <w:rFonts w:ascii="Arial" w:hAnsi="Arial" w:cs="Arial"/>
                <w:noProof/>
                <w:sz w:val="22"/>
                <w:szCs w:val="22"/>
                <w:lang w:val="uk-UA"/>
              </w:rPr>
              <w:t xml:space="preserve"> суми. </w:t>
            </w:r>
            <w:r w:rsidR="003B72F9">
              <w:rPr>
                <w:rFonts w:ascii="Arial" w:hAnsi="Arial" w:cs="Arial"/>
                <w:noProof/>
                <w:sz w:val="22"/>
                <w:szCs w:val="22"/>
                <w:lang w:val="uk-UA"/>
              </w:rPr>
              <w:t>Неможлив</w:t>
            </w:r>
            <w:r w:rsidR="00204CF7">
              <w:rPr>
                <w:rFonts w:ascii="Arial" w:hAnsi="Arial" w:cs="Arial"/>
                <w:noProof/>
                <w:sz w:val="22"/>
                <w:szCs w:val="22"/>
                <w:lang w:val="uk-UA"/>
              </w:rPr>
              <w:t>о</w:t>
            </w:r>
            <w:r w:rsidR="003B72F9">
              <w:rPr>
                <w:rFonts w:ascii="Arial" w:hAnsi="Arial" w:cs="Arial"/>
                <w:noProof/>
                <w:sz w:val="22"/>
                <w:szCs w:val="22"/>
                <w:lang w:val="uk-UA"/>
              </w:rPr>
              <w:t xml:space="preserve"> спрогнозу</w:t>
            </w:r>
            <w:r w:rsidR="00204CF7">
              <w:rPr>
                <w:rFonts w:ascii="Arial" w:hAnsi="Arial" w:cs="Arial"/>
                <w:noProof/>
                <w:sz w:val="22"/>
                <w:szCs w:val="22"/>
                <w:lang w:val="uk-UA"/>
              </w:rPr>
              <w:t>вати</w:t>
            </w:r>
            <w:r w:rsidR="003B72F9">
              <w:rPr>
                <w:rFonts w:ascii="Arial" w:hAnsi="Arial" w:cs="Arial"/>
                <w:noProof/>
                <w:sz w:val="22"/>
                <w:szCs w:val="22"/>
                <w:lang w:val="uk-UA"/>
              </w:rPr>
              <w:t xml:space="preserve"> наперед кільк</w:t>
            </w:r>
            <w:r w:rsidR="00F3072D">
              <w:rPr>
                <w:rFonts w:ascii="Arial" w:hAnsi="Arial" w:cs="Arial"/>
                <w:noProof/>
                <w:sz w:val="22"/>
                <w:szCs w:val="22"/>
                <w:lang w:val="uk-UA"/>
              </w:rPr>
              <w:t xml:space="preserve">ість </w:t>
            </w:r>
            <w:r w:rsidR="003B72F9">
              <w:rPr>
                <w:rFonts w:ascii="Arial" w:hAnsi="Arial" w:cs="Arial"/>
                <w:noProof/>
                <w:sz w:val="22"/>
                <w:szCs w:val="22"/>
                <w:lang w:val="uk-UA"/>
              </w:rPr>
              <w:t>ОВД</w:t>
            </w:r>
            <w:r w:rsidR="00F3072D">
              <w:rPr>
                <w:rFonts w:ascii="Arial" w:hAnsi="Arial" w:cs="Arial"/>
                <w:noProof/>
                <w:sz w:val="22"/>
                <w:szCs w:val="22"/>
                <w:lang w:val="uk-UA"/>
              </w:rPr>
              <w:t>, які необхідно буде провести наступного року.</w:t>
            </w:r>
          </w:p>
        </w:tc>
      </w:tr>
      <w:tr w:rsidR="00BF07C6" w:rsidRPr="00672F9A" w14:paraId="6B8285B6" w14:textId="77777777" w:rsidTr="00E504A3">
        <w:tc>
          <w:tcPr>
            <w:tcW w:w="3397" w:type="dxa"/>
          </w:tcPr>
          <w:p w14:paraId="0858928D" w14:textId="77777777" w:rsidR="00A10931" w:rsidRPr="00A83F6C" w:rsidRDefault="00A10931" w:rsidP="00041452">
            <w:pPr>
              <w:tabs>
                <w:tab w:val="left" w:pos="1134"/>
              </w:tabs>
              <w:spacing w:after="120"/>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 xml:space="preserve">Організатором громадських слухань може бути юридична особа або фізична особа - підприємець, яка має досвід у сфері охорони довкілля не менше двох років та достатні людські і технічні ресурси, необхідні для проведення громадських слухань у відповідному регіоні  або по всій території України. </w:t>
            </w:r>
          </w:p>
          <w:p w14:paraId="6A92FFB8" w14:textId="77777777" w:rsidR="003F19DE" w:rsidRPr="00A83F6C" w:rsidRDefault="003F19DE" w:rsidP="00041452">
            <w:pPr>
              <w:tabs>
                <w:tab w:val="left" w:pos="1134"/>
              </w:tabs>
              <w:spacing w:after="120"/>
              <w:jc w:val="both"/>
              <w:rPr>
                <w:rFonts w:ascii="Arial" w:hAnsi="Arial" w:cs="Arial"/>
                <w:noProof/>
                <w:sz w:val="22"/>
                <w:szCs w:val="22"/>
                <w:lang w:val="uk-UA"/>
              </w:rPr>
            </w:pPr>
          </w:p>
        </w:tc>
        <w:tc>
          <w:tcPr>
            <w:tcW w:w="3359" w:type="dxa"/>
          </w:tcPr>
          <w:p w14:paraId="24692B7C" w14:textId="77777777" w:rsidR="003F19DE" w:rsidRPr="00A83F6C" w:rsidRDefault="003F19DE" w:rsidP="00C81C4F">
            <w:pPr>
              <w:tabs>
                <w:tab w:val="left" w:pos="1134"/>
              </w:tabs>
              <w:spacing w:after="120"/>
              <w:jc w:val="both"/>
              <w:rPr>
                <w:rFonts w:ascii="Arial" w:hAnsi="Arial" w:cs="Arial"/>
                <w:noProof/>
                <w:sz w:val="22"/>
                <w:szCs w:val="22"/>
                <w:lang w:val="uk-UA"/>
              </w:rPr>
            </w:pPr>
          </w:p>
        </w:tc>
        <w:tc>
          <w:tcPr>
            <w:tcW w:w="2367" w:type="dxa"/>
          </w:tcPr>
          <w:p w14:paraId="3E80FEB1" w14:textId="2E2221D2" w:rsidR="00341C4D" w:rsidRPr="00A83F6C" w:rsidRDefault="00341C4D" w:rsidP="00041452">
            <w:pPr>
              <w:pStyle w:val="CommentText"/>
              <w:rPr>
                <w:rFonts w:ascii="Arial" w:hAnsi="Arial" w:cs="Arial"/>
                <w:noProof/>
                <w:sz w:val="22"/>
                <w:szCs w:val="22"/>
                <w:lang w:val="uk-UA"/>
              </w:rPr>
            </w:pPr>
            <w:r w:rsidRPr="00A83F6C">
              <w:rPr>
                <w:rFonts w:ascii="Arial" w:hAnsi="Arial" w:cs="Arial"/>
                <w:noProof/>
                <w:sz w:val="22"/>
                <w:szCs w:val="22"/>
                <w:lang w:val="uk-UA"/>
              </w:rPr>
              <w:t>А як буде перевіряти</w:t>
            </w:r>
            <w:r w:rsidR="003B72F9">
              <w:rPr>
                <w:rFonts w:ascii="Arial" w:hAnsi="Arial" w:cs="Arial"/>
                <w:noProof/>
                <w:sz w:val="22"/>
                <w:szCs w:val="22"/>
                <w:lang w:val="uk-UA"/>
              </w:rPr>
              <w:t>с</w:t>
            </w:r>
            <w:r w:rsidR="00F3072D">
              <w:rPr>
                <w:rFonts w:ascii="Arial" w:hAnsi="Arial" w:cs="Arial"/>
                <w:noProof/>
                <w:sz w:val="22"/>
                <w:szCs w:val="22"/>
                <w:lang w:val="uk-UA"/>
              </w:rPr>
              <w:t>я</w:t>
            </w:r>
            <w:r w:rsidRPr="00A83F6C">
              <w:rPr>
                <w:rFonts w:ascii="Arial" w:hAnsi="Arial" w:cs="Arial"/>
                <w:noProof/>
                <w:sz w:val="22"/>
                <w:szCs w:val="22"/>
                <w:lang w:val="uk-UA"/>
              </w:rPr>
              <w:t xml:space="preserve"> досвід у сфері охорони довклілля? Можливо тут краще досвід із реалізації екологічних проектів.</w:t>
            </w:r>
          </w:p>
          <w:p w14:paraId="71B5EE43" w14:textId="7014E4DC" w:rsidR="003F19DE" w:rsidRPr="00A83F6C" w:rsidRDefault="00341C4D" w:rsidP="00F3072D">
            <w:pPr>
              <w:rPr>
                <w:rFonts w:ascii="Arial" w:hAnsi="Arial" w:cs="Arial"/>
                <w:noProof/>
                <w:sz w:val="22"/>
                <w:szCs w:val="22"/>
                <w:lang w:val="uk-UA"/>
              </w:rPr>
            </w:pPr>
            <w:r w:rsidRPr="00A83F6C">
              <w:rPr>
                <w:rFonts w:ascii="Arial" w:hAnsi="Arial" w:cs="Arial"/>
                <w:noProof/>
                <w:sz w:val="22"/>
                <w:szCs w:val="22"/>
                <w:lang w:val="uk-UA"/>
              </w:rPr>
              <w:t xml:space="preserve">Тут потрібні більше навики логістики, бо роль </w:t>
            </w:r>
            <w:r w:rsidR="00F3072D" w:rsidRPr="00A83F6C">
              <w:rPr>
                <w:rFonts w:ascii="Arial" w:hAnsi="Arial" w:cs="Arial"/>
                <w:noProof/>
                <w:sz w:val="22"/>
                <w:szCs w:val="22"/>
                <w:lang w:val="uk-UA"/>
              </w:rPr>
              <w:t>організа</w:t>
            </w:r>
            <w:r w:rsidR="00F3072D">
              <w:rPr>
                <w:rFonts w:ascii="Arial" w:hAnsi="Arial" w:cs="Arial"/>
                <w:noProof/>
                <w:sz w:val="22"/>
                <w:szCs w:val="22"/>
                <w:lang w:val="uk-UA"/>
              </w:rPr>
              <w:t>тора</w:t>
            </w:r>
            <w:r w:rsidR="00F3072D" w:rsidRPr="00A83F6C">
              <w:rPr>
                <w:rFonts w:ascii="Arial" w:hAnsi="Arial" w:cs="Arial"/>
                <w:noProof/>
                <w:sz w:val="22"/>
                <w:szCs w:val="22"/>
                <w:lang w:val="uk-UA"/>
              </w:rPr>
              <w:t xml:space="preserve"> </w:t>
            </w:r>
            <w:r w:rsidR="003B72F9">
              <w:rPr>
                <w:rFonts w:ascii="Arial" w:hAnsi="Arial" w:cs="Arial"/>
                <w:noProof/>
                <w:sz w:val="22"/>
                <w:szCs w:val="22"/>
                <w:lang w:val="uk-UA"/>
              </w:rPr>
              <w:t>–</w:t>
            </w:r>
            <w:r w:rsidRPr="00A83F6C">
              <w:rPr>
                <w:rFonts w:ascii="Arial" w:hAnsi="Arial" w:cs="Arial"/>
                <w:noProof/>
                <w:sz w:val="22"/>
                <w:szCs w:val="22"/>
                <w:lang w:val="uk-UA"/>
              </w:rPr>
              <w:t xml:space="preserve"> об</w:t>
            </w:r>
            <w:r w:rsidR="003B72F9" w:rsidRPr="00E504A3">
              <w:rPr>
                <w:rFonts w:ascii="Arial" w:hAnsi="Arial" w:cs="Arial"/>
                <w:noProof/>
                <w:sz w:val="22"/>
                <w:szCs w:val="22"/>
                <w:lang w:val="uk-UA"/>
              </w:rPr>
              <w:t>’</w:t>
            </w:r>
            <w:r w:rsidRPr="00A83F6C">
              <w:rPr>
                <w:rFonts w:ascii="Arial" w:hAnsi="Arial" w:cs="Arial"/>
                <w:noProof/>
                <w:sz w:val="22"/>
                <w:szCs w:val="22"/>
                <w:lang w:val="uk-UA"/>
              </w:rPr>
              <w:t xml:space="preserve">єктивно, </w:t>
            </w:r>
            <w:r w:rsidRPr="00A83F6C">
              <w:rPr>
                <w:rFonts w:ascii="Arial" w:hAnsi="Arial" w:cs="Arial"/>
                <w:noProof/>
                <w:sz w:val="22"/>
                <w:szCs w:val="22"/>
                <w:lang w:val="uk-UA"/>
              </w:rPr>
              <w:lastRenderedPageBreak/>
              <w:t>безсторонньо надати можливість всім висловитися</w:t>
            </w:r>
            <w:r w:rsidR="00F3072D">
              <w:rPr>
                <w:rFonts w:ascii="Arial" w:hAnsi="Arial" w:cs="Arial"/>
                <w:noProof/>
                <w:sz w:val="22"/>
                <w:szCs w:val="22"/>
                <w:lang w:val="uk-UA"/>
              </w:rPr>
              <w:t xml:space="preserve">, </w:t>
            </w:r>
            <w:r w:rsidR="00F3072D" w:rsidRPr="00A83F6C">
              <w:rPr>
                <w:rFonts w:ascii="Arial" w:hAnsi="Arial" w:cs="Arial"/>
                <w:noProof/>
                <w:sz w:val="22"/>
                <w:szCs w:val="22"/>
                <w:lang w:val="uk-UA"/>
              </w:rPr>
              <w:t>давати ві</w:t>
            </w:r>
            <w:r w:rsidR="00F3072D">
              <w:rPr>
                <w:rFonts w:ascii="Arial" w:hAnsi="Arial" w:cs="Arial"/>
                <w:noProof/>
                <w:sz w:val="22"/>
                <w:szCs w:val="22"/>
                <w:lang w:val="uk-UA"/>
              </w:rPr>
              <w:t>д</w:t>
            </w:r>
            <w:r w:rsidR="00F3072D" w:rsidRPr="00A83F6C">
              <w:rPr>
                <w:rFonts w:ascii="Arial" w:hAnsi="Arial" w:cs="Arial"/>
                <w:noProof/>
                <w:sz w:val="22"/>
                <w:szCs w:val="22"/>
                <w:lang w:val="uk-UA"/>
              </w:rPr>
              <w:t>повіді на запитання</w:t>
            </w:r>
            <w:r w:rsidR="00F3072D">
              <w:rPr>
                <w:rFonts w:ascii="Arial" w:hAnsi="Arial" w:cs="Arial"/>
                <w:noProof/>
                <w:sz w:val="22"/>
                <w:szCs w:val="22"/>
                <w:lang w:val="uk-UA"/>
              </w:rPr>
              <w:t>.</w:t>
            </w:r>
          </w:p>
        </w:tc>
      </w:tr>
      <w:tr w:rsidR="00BF07C6" w:rsidRPr="00672F9A" w14:paraId="7E17A3AD" w14:textId="77777777" w:rsidTr="00E504A3">
        <w:tc>
          <w:tcPr>
            <w:tcW w:w="3397" w:type="dxa"/>
          </w:tcPr>
          <w:p w14:paraId="3FFDCC74" w14:textId="77777777" w:rsidR="00A10931" w:rsidRPr="00A83F6C" w:rsidRDefault="00A10931" w:rsidP="00041452">
            <w:pPr>
              <w:tabs>
                <w:tab w:val="left" w:pos="993"/>
              </w:tabs>
              <w:spacing w:after="120"/>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lastRenderedPageBreak/>
              <w:t>Організатор громадських слухань повинен бути незалежним і не мати потенційного конфлікту інтересів щодо планованої діяльності в розумінні Закону України «Про запобігання корупції». Юридична особа або фізична особа-підприємець, яка залучалася суб’єктом господарювання до розроблення документації щодо планованої діяльності на попередніх етапах (розробка проектної документації, підготовка звіту з оцінки впливу на довкілля, інше) не може бути організатором громадських слухань щодо такої планованої діяльності. В такому випадку уповноважений орган проводить громадські слухання самостійно.</w:t>
            </w:r>
          </w:p>
          <w:p w14:paraId="09507D40" w14:textId="77777777" w:rsidR="003F19DE" w:rsidRPr="00A83F6C" w:rsidRDefault="003F19DE" w:rsidP="00041452">
            <w:pPr>
              <w:rPr>
                <w:rFonts w:ascii="Arial" w:hAnsi="Arial" w:cs="Arial"/>
                <w:noProof/>
                <w:sz w:val="22"/>
                <w:szCs w:val="22"/>
                <w:lang w:val="uk-UA"/>
              </w:rPr>
            </w:pPr>
          </w:p>
        </w:tc>
        <w:tc>
          <w:tcPr>
            <w:tcW w:w="3359" w:type="dxa"/>
          </w:tcPr>
          <w:p w14:paraId="6FE1A38A" w14:textId="6C9CB9C4" w:rsidR="003F19DE" w:rsidRPr="005379F8" w:rsidRDefault="00A10931" w:rsidP="005379F8">
            <w:pPr>
              <w:tabs>
                <w:tab w:val="left" w:pos="993"/>
              </w:tabs>
              <w:spacing w:after="120"/>
              <w:jc w:val="both"/>
              <w:rPr>
                <w:rFonts w:ascii="Arial" w:hAnsi="Arial" w:cs="Arial"/>
                <w:noProof/>
                <w:color w:val="000000" w:themeColor="text1"/>
                <w:sz w:val="22"/>
                <w:szCs w:val="22"/>
                <w:lang w:val="uk-UA"/>
              </w:rPr>
            </w:pPr>
            <w:r w:rsidRPr="00C81C4F">
              <w:rPr>
                <w:rFonts w:ascii="Arial" w:hAnsi="Arial" w:cs="Arial"/>
                <w:b/>
                <w:noProof/>
                <w:color w:val="000000" w:themeColor="text1"/>
                <w:sz w:val="22"/>
                <w:szCs w:val="22"/>
                <w:lang w:val="uk-UA"/>
              </w:rPr>
              <w:t>Під час проведення громадських слухань повинні бути дотримані принципи незалежності, відсутності конфлікту інтересів під час планової діяльності в розумінні Закону України «Про запобігання корупції».</w:t>
            </w:r>
            <w:r w:rsidRPr="00A83F6C">
              <w:rPr>
                <w:rFonts w:ascii="Arial" w:hAnsi="Arial" w:cs="Arial"/>
                <w:noProof/>
                <w:color w:val="000000" w:themeColor="text1"/>
                <w:sz w:val="22"/>
                <w:szCs w:val="22"/>
                <w:lang w:val="uk-UA"/>
              </w:rPr>
              <w:t xml:space="preserve"> Юридична особа або фізична особа-підприємець, яка залучалася суб’єктом господарювання до розроблення документації щодо планованої діяльності на попередніх етапах (розробка проектної документації, підготовка звіту з оцінки впливу на довкілля, інше) не може бути організатором громадських слухань щодо такої планованої діяльності. У такому випадку, а також у разі виявлення конфлікту ін</w:t>
            </w:r>
            <w:r w:rsidR="003205DD">
              <w:rPr>
                <w:rFonts w:ascii="Arial" w:hAnsi="Arial" w:cs="Arial"/>
                <w:noProof/>
                <w:color w:val="000000" w:themeColor="text1"/>
                <w:sz w:val="22"/>
                <w:szCs w:val="22"/>
                <w:lang w:val="uk-UA"/>
              </w:rPr>
              <w:t>т</w:t>
            </w:r>
            <w:r w:rsidRPr="00A83F6C">
              <w:rPr>
                <w:rFonts w:ascii="Arial" w:hAnsi="Arial" w:cs="Arial"/>
                <w:noProof/>
                <w:color w:val="000000" w:themeColor="text1"/>
                <w:sz w:val="22"/>
                <w:szCs w:val="22"/>
                <w:lang w:val="uk-UA"/>
              </w:rPr>
              <w:t>ересів, уповноважений орган проводить громадські слухання самостійно.</w:t>
            </w:r>
          </w:p>
        </w:tc>
        <w:tc>
          <w:tcPr>
            <w:tcW w:w="2367" w:type="dxa"/>
          </w:tcPr>
          <w:p w14:paraId="3E4BD42D" w14:textId="77777777" w:rsidR="003F19DE" w:rsidRPr="00A83F6C" w:rsidRDefault="003F19DE" w:rsidP="00041452">
            <w:pPr>
              <w:rPr>
                <w:rFonts w:ascii="Arial" w:hAnsi="Arial" w:cs="Arial"/>
                <w:noProof/>
                <w:sz w:val="22"/>
                <w:szCs w:val="22"/>
                <w:lang w:val="uk-UA"/>
              </w:rPr>
            </w:pPr>
          </w:p>
        </w:tc>
      </w:tr>
      <w:tr w:rsidR="00D01B2E" w:rsidRPr="00672F9A" w14:paraId="3CF29E3A" w14:textId="77777777" w:rsidTr="00E504A3">
        <w:tc>
          <w:tcPr>
            <w:tcW w:w="3397" w:type="dxa"/>
          </w:tcPr>
          <w:p w14:paraId="41071457" w14:textId="77777777" w:rsidR="00D01B2E" w:rsidRPr="00A83F6C" w:rsidRDefault="00D01B2E" w:rsidP="00041452">
            <w:pPr>
              <w:tabs>
                <w:tab w:val="left" w:pos="993"/>
              </w:tabs>
              <w:spacing w:after="120"/>
              <w:contextualSpacing/>
              <w:jc w:val="both"/>
              <w:rPr>
                <w:rFonts w:ascii="Arial" w:hAnsi="Arial" w:cs="Arial"/>
                <w:strike/>
                <w:noProof/>
                <w:color w:val="000000" w:themeColor="text1"/>
                <w:sz w:val="22"/>
                <w:szCs w:val="22"/>
                <w:lang w:val="uk-UA"/>
              </w:rPr>
            </w:pPr>
            <w:r w:rsidRPr="00A83F6C">
              <w:rPr>
                <w:rFonts w:ascii="Arial" w:hAnsi="Arial" w:cs="Arial"/>
                <w:noProof/>
                <w:color w:val="000000" w:themeColor="text1"/>
                <w:sz w:val="22"/>
                <w:szCs w:val="22"/>
                <w:lang w:val="uk-UA"/>
              </w:rPr>
              <w:t>Організатор громадських слухань:</w:t>
            </w:r>
          </w:p>
          <w:p w14:paraId="47A429D8" w14:textId="77777777" w:rsidR="00D01B2E" w:rsidRPr="00A83F6C" w:rsidRDefault="00D01B2E" w:rsidP="00041452">
            <w:pPr>
              <w:tabs>
                <w:tab w:val="left" w:pos="993"/>
              </w:tabs>
              <w:spacing w:after="120"/>
              <w:ind w:firstLine="709"/>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lastRenderedPageBreak/>
              <w:t>проводить громадські слухання відповідно до закону та цього порядку;</w:t>
            </w:r>
          </w:p>
          <w:p w14:paraId="7FE60DF2" w14:textId="77777777" w:rsidR="00D01B2E" w:rsidRPr="00A83F6C" w:rsidRDefault="00D01B2E" w:rsidP="00041452">
            <w:pPr>
              <w:tabs>
                <w:tab w:val="left" w:pos="993"/>
              </w:tabs>
              <w:spacing w:after="120"/>
              <w:ind w:firstLine="709"/>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реєструє учасників громадських слухань у журналі (відомості) реєстрації учасників за формою встановленою Додатком 1 до цього Порядку;</w:t>
            </w:r>
          </w:p>
          <w:p w14:paraId="37B1EBE2" w14:textId="77777777" w:rsidR="00D01B2E" w:rsidRPr="00A83F6C" w:rsidRDefault="00D01B2E" w:rsidP="00041452">
            <w:pPr>
              <w:tabs>
                <w:tab w:val="left" w:pos="993"/>
              </w:tabs>
              <w:spacing w:after="120"/>
              <w:ind w:firstLine="709"/>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 xml:space="preserve">реєструє виступи учасників громадських слухань у журналі (відомості) реєстрації виступів за формою встановленою Додатком 2 до цього Порядку; </w:t>
            </w:r>
          </w:p>
          <w:p w14:paraId="3FB31764" w14:textId="77777777" w:rsidR="00D01B2E" w:rsidRPr="00A83F6C" w:rsidRDefault="00D01B2E" w:rsidP="00041452">
            <w:pPr>
              <w:tabs>
                <w:tab w:val="left" w:pos="993"/>
              </w:tabs>
              <w:spacing w:after="120"/>
              <w:ind w:firstLine="709"/>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 xml:space="preserve">забезпечує запис громадських слухань шляхом ведення стенограми чи аудіо/відео фіксації ходу громадських слухань; </w:t>
            </w:r>
          </w:p>
          <w:p w14:paraId="54952C72" w14:textId="77777777" w:rsidR="00D01B2E" w:rsidRPr="00A83F6C" w:rsidRDefault="00D01B2E" w:rsidP="00041452">
            <w:pPr>
              <w:tabs>
                <w:tab w:val="left" w:pos="993"/>
              </w:tabs>
              <w:spacing w:after="120"/>
              <w:ind w:firstLine="709"/>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здійснює головування під час громадських слухань;</w:t>
            </w:r>
          </w:p>
          <w:p w14:paraId="79D6F870" w14:textId="77777777" w:rsidR="00D01B2E" w:rsidRPr="00A83F6C" w:rsidRDefault="00D01B2E" w:rsidP="00041452">
            <w:pPr>
              <w:tabs>
                <w:tab w:val="left" w:pos="993"/>
              </w:tabs>
              <w:spacing w:after="120"/>
              <w:ind w:firstLine="709"/>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готує протокол громадських слухань за формою встановленою                   Додатком 3 до цього Порядку.</w:t>
            </w:r>
          </w:p>
          <w:p w14:paraId="4E36D897" w14:textId="77777777" w:rsidR="00D01B2E" w:rsidRPr="00A83F6C" w:rsidRDefault="00D01B2E" w:rsidP="00041452">
            <w:pPr>
              <w:tabs>
                <w:tab w:val="left" w:pos="993"/>
              </w:tabs>
              <w:spacing w:after="120"/>
              <w:jc w:val="both"/>
              <w:rPr>
                <w:rFonts w:ascii="Arial" w:hAnsi="Arial" w:cs="Arial"/>
                <w:noProof/>
                <w:color w:val="000000" w:themeColor="text1"/>
                <w:sz w:val="22"/>
                <w:szCs w:val="22"/>
                <w:lang w:val="uk-UA"/>
              </w:rPr>
            </w:pPr>
          </w:p>
        </w:tc>
        <w:tc>
          <w:tcPr>
            <w:tcW w:w="3359" w:type="dxa"/>
          </w:tcPr>
          <w:p w14:paraId="01B5BDA9" w14:textId="77777777" w:rsidR="00D01B2E" w:rsidRPr="00A83F6C" w:rsidRDefault="00D01B2E" w:rsidP="00A83F6C">
            <w:pPr>
              <w:tabs>
                <w:tab w:val="left" w:pos="993"/>
              </w:tabs>
              <w:spacing w:after="120"/>
              <w:contextualSpacing/>
              <w:jc w:val="both"/>
              <w:rPr>
                <w:rFonts w:ascii="Arial" w:hAnsi="Arial" w:cs="Arial"/>
                <w:strike/>
                <w:noProof/>
                <w:color w:val="000000" w:themeColor="text1"/>
                <w:sz w:val="22"/>
                <w:szCs w:val="22"/>
                <w:lang w:val="uk-UA"/>
              </w:rPr>
            </w:pPr>
            <w:r w:rsidRPr="00A83F6C">
              <w:rPr>
                <w:rFonts w:ascii="Arial" w:hAnsi="Arial" w:cs="Arial"/>
                <w:noProof/>
                <w:color w:val="000000" w:themeColor="text1"/>
                <w:sz w:val="22"/>
                <w:szCs w:val="22"/>
                <w:lang w:val="uk-UA"/>
              </w:rPr>
              <w:lastRenderedPageBreak/>
              <w:t>Організатор громадських слухань:</w:t>
            </w:r>
          </w:p>
          <w:p w14:paraId="3439BC89" w14:textId="77777777" w:rsidR="00D01B2E" w:rsidRPr="00A83F6C" w:rsidRDefault="00D01B2E" w:rsidP="00041452">
            <w:pPr>
              <w:tabs>
                <w:tab w:val="left" w:pos="993"/>
              </w:tabs>
              <w:spacing w:after="120"/>
              <w:ind w:firstLine="709"/>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lastRenderedPageBreak/>
              <w:t>проводить громадські слухання відповідно до закону та цього порядку;</w:t>
            </w:r>
          </w:p>
          <w:p w14:paraId="260299D5" w14:textId="77777777" w:rsidR="00D01B2E" w:rsidRPr="00A83F6C" w:rsidRDefault="00D01B2E" w:rsidP="00041452">
            <w:pPr>
              <w:tabs>
                <w:tab w:val="left" w:pos="993"/>
              </w:tabs>
              <w:spacing w:after="120"/>
              <w:ind w:firstLine="709"/>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реєструє учасників громадських слухань у журналі (відомості) реєстрації учасників за формою встановленою Додатком 1 до цього Порядку;</w:t>
            </w:r>
          </w:p>
          <w:p w14:paraId="4CD4447D" w14:textId="77777777" w:rsidR="00D01B2E" w:rsidRPr="00A83F6C" w:rsidRDefault="00D01B2E" w:rsidP="00041452">
            <w:pPr>
              <w:tabs>
                <w:tab w:val="left" w:pos="993"/>
              </w:tabs>
              <w:spacing w:after="120"/>
              <w:ind w:firstLine="709"/>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 xml:space="preserve">реєструє виступи учасників громадських слухань у журналі (відомості) реєстрації виступів за формою встановленою Додатком 2 до цього Порядку; </w:t>
            </w:r>
          </w:p>
          <w:p w14:paraId="06544D86" w14:textId="77777777" w:rsidR="00D01B2E" w:rsidRPr="00A83F6C" w:rsidRDefault="00D01B2E" w:rsidP="00041452">
            <w:pPr>
              <w:tabs>
                <w:tab w:val="left" w:pos="993"/>
              </w:tabs>
              <w:spacing w:after="120"/>
              <w:ind w:firstLine="709"/>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 xml:space="preserve">забезпечує запис громадських слухань шляхом ведення стенограми чи аудіо/відео фіксації ходу громадських слухань; </w:t>
            </w:r>
          </w:p>
          <w:p w14:paraId="6B2EC68C" w14:textId="77777777" w:rsidR="00D01B2E" w:rsidRPr="00A83F6C" w:rsidRDefault="00D01B2E" w:rsidP="00041452">
            <w:pPr>
              <w:tabs>
                <w:tab w:val="left" w:pos="993"/>
              </w:tabs>
              <w:spacing w:after="120"/>
              <w:ind w:firstLine="709"/>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здійснює головування під час громадських слухань;</w:t>
            </w:r>
          </w:p>
          <w:p w14:paraId="7C83E3E3" w14:textId="77777777" w:rsidR="00D01B2E" w:rsidRPr="00A83F6C" w:rsidRDefault="00D01B2E" w:rsidP="00041452">
            <w:pPr>
              <w:tabs>
                <w:tab w:val="left" w:pos="993"/>
              </w:tabs>
              <w:spacing w:after="120"/>
              <w:ind w:firstLine="709"/>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готує протокол громадських слухань за формою встановленою                   Додатком 3 до цього Порядку</w:t>
            </w:r>
          </w:p>
          <w:p w14:paraId="291FF458" w14:textId="246E56DC" w:rsidR="00D01B2E" w:rsidRPr="00C81C4F" w:rsidRDefault="00D01B2E" w:rsidP="00C81C4F">
            <w:pPr>
              <w:tabs>
                <w:tab w:val="left" w:pos="993"/>
              </w:tabs>
              <w:spacing w:after="120"/>
              <w:ind w:firstLine="709"/>
              <w:jc w:val="both"/>
              <w:rPr>
                <w:rFonts w:ascii="Arial" w:hAnsi="Arial" w:cs="Arial"/>
                <w:b/>
                <w:noProof/>
                <w:color w:val="000000" w:themeColor="text1"/>
                <w:sz w:val="22"/>
                <w:szCs w:val="22"/>
                <w:lang w:val="uk-UA"/>
              </w:rPr>
            </w:pPr>
            <w:r w:rsidRPr="00C81C4F">
              <w:rPr>
                <w:rFonts w:ascii="Arial" w:hAnsi="Arial" w:cs="Arial"/>
                <w:b/>
                <w:noProof/>
                <w:color w:val="000000" w:themeColor="text1"/>
                <w:sz w:val="22"/>
                <w:szCs w:val="22"/>
                <w:lang w:val="uk-UA"/>
              </w:rPr>
              <w:t>складає акт про те, що громадські слухання не відбулися або про</w:t>
            </w:r>
            <w:r w:rsidR="00C81C4F">
              <w:rPr>
                <w:rFonts w:ascii="Arial" w:hAnsi="Arial" w:cs="Arial"/>
                <w:b/>
                <w:noProof/>
                <w:color w:val="000000" w:themeColor="text1"/>
                <w:sz w:val="22"/>
                <w:szCs w:val="22"/>
                <w:lang w:val="uk-UA"/>
              </w:rPr>
              <w:t xml:space="preserve"> </w:t>
            </w:r>
            <w:r w:rsidRPr="00C81C4F">
              <w:rPr>
                <w:rFonts w:ascii="Arial" w:hAnsi="Arial" w:cs="Arial"/>
                <w:b/>
                <w:noProof/>
                <w:color w:val="000000" w:themeColor="text1"/>
                <w:sz w:val="22"/>
                <w:szCs w:val="22"/>
                <w:lang w:val="uk-UA"/>
              </w:rPr>
              <w:t xml:space="preserve">те, що громадськість не виявила бажання брати участь у громадських слуханнях </w:t>
            </w:r>
            <w:r w:rsidR="00C81C4F">
              <w:rPr>
                <w:rFonts w:ascii="Arial" w:hAnsi="Arial" w:cs="Arial"/>
                <w:b/>
                <w:noProof/>
                <w:color w:val="000000" w:themeColor="text1"/>
                <w:sz w:val="22"/>
                <w:szCs w:val="22"/>
                <w:lang w:val="uk-UA"/>
              </w:rPr>
              <w:t xml:space="preserve">за </w:t>
            </w:r>
            <w:r w:rsidR="00C81C4F">
              <w:rPr>
                <w:rFonts w:ascii="Arial" w:hAnsi="Arial" w:cs="Arial"/>
                <w:b/>
                <w:noProof/>
                <w:color w:val="000000" w:themeColor="text1"/>
                <w:sz w:val="22"/>
                <w:szCs w:val="22"/>
                <w:lang w:val="uk-UA"/>
              </w:rPr>
              <w:lastRenderedPageBreak/>
              <w:t>формою встановленою Додатком</w:t>
            </w:r>
            <w:r w:rsidRPr="00C81C4F">
              <w:rPr>
                <w:rFonts w:ascii="Arial" w:hAnsi="Arial" w:cs="Arial"/>
                <w:b/>
                <w:noProof/>
                <w:color w:val="000000" w:themeColor="text1"/>
                <w:sz w:val="22"/>
                <w:szCs w:val="22"/>
                <w:lang w:val="uk-UA"/>
              </w:rPr>
              <w:t xml:space="preserve"> 5.</w:t>
            </w:r>
          </w:p>
        </w:tc>
        <w:tc>
          <w:tcPr>
            <w:tcW w:w="2367" w:type="dxa"/>
          </w:tcPr>
          <w:p w14:paraId="49EDA57E" w14:textId="77777777" w:rsidR="00D01B2E" w:rsidRPr="00A83F6C" w:rsidRDefault="00D01B2E" w:rsidP="00041452">
            <w:pPr>
              <w:rPr>
                <w:rFonts w:ascii="Arial" w:hAnsi="Arial" w:cs="Arial"/>
                <w:noProof/>
                <w:sz w:val="22"/>
                <w:szCs w:val="22"/>
                <w:lang w:val="uk-UA"/>
              </w:rPr>
            </w:pPr>
          </w:p>
        </w:tc>
      </w:tr>
      <w:tr w:rsidR="00D01B2E" w:rsidRPr="00672F9A" w14:paraId="64DB180C" w14:textId="77777777" w:rsidTr="00E504A3">
        <w:tc>
          <w:tcPr>
            <w:tcW w:w="3397" w:type="dxa"/>
          </w:tcPr>
          <w:p w14:paraId="6AF18AE2" w14:textId="77777777" w:rsidR="00D01B2E" w:rsidRPr="00A83F6C" w:rsidRDefault="00D01B2E" w:rsidP="00041452">
            <w:pPr>
              <w:tabs>
                <w:tab w:val="left" w:pos="1134"/>
              </w:tabs>
              <w:spacing w:after="120"/>
              <w:contextualSpacing/>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lastRenderedPageBreak/>
              <w:t>Під час громадського обговорення може проводитись одне або більше слухань. Кількість слухань визначається суб’єктом господарювання з урахуванням такого:</w:t>
            </w:r>
          </w:p>
          <w:p w14:paraId="4F69FB95" w14:textId="77777777" w:rsidR="00D01B2E" w:rsidRPr="00A83F6C" w:rsidRDefault="00D01B2E" w:rsidP="00041452">
            <w:pPr>
              <w:tabs>
                <w:tab w:val="left" w:pos="1134"/>
              </w:tabs>
              <w:spacing w:after="120"/>
              <w:ind w:firstLine="709"/>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якщо вплив планованої діяльності не виходить за межі області, громадські слухання проводяться у адміністративному центрі</w:t>
            </w:r>
            <w:r w:rsidRPr="00A83F6C">
              <w:rPr>
                <w:rFonts w:ascii="Arial" w:hAnsi="Arial" w:cs="Arial"/>
                <w:noProof/>
                <w:sz w:val="22"/>
                <w:szCs w:val="22"/>
                <w:lang w:val="uk-UA"/>
              </w:rPr>
              <w:t xml:space="preserve"> </w:t>
            </w:r>
            <w:r w:rsidRPr="00A83F6C">
              <w:rPr>
                <w:rFonts w:ascii="Arial" w:hAnsi="Arial" w:cs="Arial"/>
                <w:noProof/>
                <w:color w:val="000000" w:themeColor="text1"/>
                <w:sz w:val="22"/>
                <w:szCs w:val="22"/>
                <w:lang w:val="uk-UA"/>
              </w:rPr>
              <w:t>адміністративно-територіальної одиниці, яка може зазнати впливу планованої діяльності;</w:t>
            </w:r>
          </w:p>
          <w:p w14:paraId="2FE56A28" w14:textId="77777777" w:rsidR="00D01B2E" w:rsidRPr="00A83F6C" w:rsidRDefault="00D01B2E" w:rsidP="00041452">
            <w:pPr>
              <w:tabs>
                <w:tab w:val="left" w:pos="1134"/>
              </w:tabs>
              <w:spacing w:after="120"/>
              <w:ind w:firstLine="709"/>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якщо вплив планованої діяльності поширюється на дві і більше областей, але менше третини областей України, громадські слухання проводяться у адміністративних центрах</w:t>
            </w:r>
            <w:r w:rsidRPr="00A83F6C">
              <w:rPr>
                <w:rFonts w:ascii="Arial" w:hAnsi="Arial" w:cs="Arial"/>
                <w:noProof/>
                <w:sz w:val="22"/>
                <w:szCs w:val="22"/>
                <w:lang w:val="uk-UA"/>
              </w:rPr>
              <w:t xml:space="preserve"> </w:t>
            </w:r>
            <w:r w:rsidRPr="00A83F6C">
              <w:rPr>
                <w:rFonts w:ascii="Arial" w:hAnsi="Arial" w:cs="Arial"/>
                <w:noProof/>
                <w:color w:val="000000" w:themeColor="text1"/>
                <w:sz w:val="22"/>
                <w:szCs w:val="22"/>
                <w:lang w:val="uk-UA"/>
              </w:rPr>
              <w:t>адміністративно-територіальних одиниць, які можуть зазнати впливу планованої діяльності, кожної із таких областей.</w:t>
            </w:r>
          </w:p>
          <w:p w14:paraId="0F265102" w14:textId="77777777" w:rsidR="00D01B2E" w:rsidRPr="00A83F6C" w:rsidRDefault="00D01B2E" w:rsidP="00041452">
            <w:pPr>
              <w:tabs>
                <w:tab w:val="left" w:pos="1134"/>
              </w:tabs>
              <w:spacing w:after="120"/>
              <w:ind w:firstLine="709"/>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 xml:space="preserve">якщо вплив планованої діяльності поширюється на більше третини областей України, громадські слухання </w:t>
            </w:r>
            <w:r w:rsidRPr="00A83F6C">
              <w:rPr>
                <w:rFonts w:ascii="Arial" w:hAnsi="Arial" w:cs="Arial"/>
                <w:noProof/>
                <w:color w:val="000000" w:themeColor="text1"/>
                <w:sz w:val="22"/>
                <w:szCs w:val="22"/>
                <w:lang w:val="uk-UA"/>
              </w:rPr>
              <w:lastRenderedPageBreak/>
              <w:t>додатково проводяться у місті Києві.</w:t>
            </w:r>
          </w:p>
          <w:p w14:paraId="2764DF07" w14:textId="77777777" w:rsidR="00D01B2E" w:rsidRPr="00A83F6C" w:rsidRDefault="00D01B2E" w:rsidP="00041452">
            <w:pPr>
              <w:tabs>
                <w:tab w:val="left" w:pos="993"/>
              </w:tabs>
              <w:spacing w:after="120"/>
              <w:jc w:val="both"/>
              <w:rPr>
                <w:rFonts w:ascii="Arial" w:hAnsi="Arial" w:cs="Arial"/>
                <w:noProof/>
                <w:color w:val="000000" w:themeColor="text1"/>
                <w:sz w:val="22"/>
                <w:szCs w:val="22"/>
                <w:lang w:val="uk-UA"/>
              </w:rPr>
            </w:pPr>
          </w:p>
        </w:tc>
        <w:tc>
          <w:tcPr>
            <w:tcW w:w="3359" w:type="dxa"/>
          </w:tcPr>
          <w:p w14:paraId="1A8475D9" w14:textId="52C471CA" w:rsidR="00D01B2E" w:rsidRPr="00C81C4F" w:rsidRDefault="00D01B2E" w:rsidP="00041452">
            <w:pPr>
              <w:tabs>
                <w:tab w:val="left" w:pos="1134"/>
              </w:tabs>
              <w:spacing w:after="120"/>
              <w:contextualSpacing/>
              <w:jc w:val="both"/>
              <w:rPr>
                <w:rFonts w:ascii="Arial" w:hAnsi="Arial" w:cs="Arial"/>
                <w:b/>
                <w:noProof/>
                <w:color w:val="000000" w:themeColor="text1"/>
                <w:sz w:val="22"/>
                <w:szCs w:val="22"/>
                <w:lang w:val="uk-UA"/>
              </w:rPr>
            </w:pPr>
            <w:r w:rsidRPr="00C81C4F">
              <w:rPr>
                <w:rFonts w:ascii="Arial" w:hAnsi="Arial" w:cs="Arial"/>
                <w:b/>
                <w:noProof/>
                <w:color w:val="000000" w:themeColor="text1"/>
                <w:sz w:val="22"/>
                <w:szCs w:val="22"/>
                <w:lang w:val="uk-UA"/>
              </w:rPr>
              <w:lastRenderedPageBreak/>
              <w:t xml:space="preserve">Кількість громадських слухань </w:t>
            </w:r>
            <w:r w:rsidR="000E3C8B" w:rsidRPr="00C81C4F">
              <w:rPr>
                <w:rFonts w:ascii="Arial" w:hAnsi="Arial" w:cs="Arial"/>
                <w:b/>
                <w:noProof/>
                <w:color w:val="000000" w:themeColor="text1"/>
                <w:sz w:val="22"/>
                <w:szCs w:val="22"/>
                <w:lang w:val="uk-UA"/>
              </w:rPr>
              <w:t xml:space="preserve">(включаючи інформацію про час і місце усіх запланованих громадських слухань) </w:t>
            </w:r>
            <w:r w:rsidRPr="00C81C4F">
              <w:rPr>
                <w:rFonts w:ascii="Arial" w:hAnsi="Arial" w:cs="Arial"/>
                <w:b/>
                <w:noProof/>
                <w:color w:val="000000" w:themeColor="text1"/>
                <w:sz w:val="22"/>
                <w:szCs w:val="22"/>
                <w:lang w:val="uk-UA"/>
              </w:rPr>
              <w:t>зазначається в оголошенні про початок громадського обговорення.</w:t>
            </w:r>
          </w:p>
          <w:p w14:paraId="3FFB984C" w14:textId="4FC325B5" w:rsidR="00D01B2E" w:rsidRPr="00C81C4F" w:rsidRDefault="000E3C8B" w:rsidP="00041452">
            <w:pPr>
              <w:tabs>
                <w:tab w:val="left" w:pos="1134"/>
              </w:tabs>
              <w:spacing w:after="120"/>
              <w:contextualSpacing/>
              <w:jc w:val="both"/>
              <w:rPr>
                <w:rFonts w:ascii="Arial" w:hAnsi="Arial" w:cs="Arial"/>
                <w:b/>
                <w:noProof/>
                <w:color w:val="000000" w:themeColor="text1"/>
                <w:sz w:val="22"/>
                <w:szCs w:val="22"/>
                <w:lang w:val="uk-UA"/>
              </w:rPr>
            </w:pPr>
            <w:r w:rsidRPr="00C81C4F">
              <w:rPr>
                <w:rFonts w:ascii="Arial" w:hAnsi="Arial" w:cs="Arial"/>
                <w:b/>
                <w:noProof/>
                <w:color w:val="000000" w:themeColor="text1"/>
                <w:sz w:val="22"/>
                <w:szCs w:val="22"/>
                <w:lang w:val="uk-UA"/>
              </w:rPr>
              <w:t>Кількість громадських слухань визначається виходячи із масштабів очікуваного впливу. Кількість слухань визначається суб’єктом господарювання з урахуванням такого:</w:t>
            </w:r>
          </w:p>
          <w:p w14:paraId="320E674A" w14:textId="77777777" w:rsidR="00D01B2E" w:rsidRPr="00A83F6C" w:rsidRDefault="00D01B2E" w:rsidP="00041452">
            <w:pPr>
              <w:tabs>
                <w:tab w:val="left" w:pos="1134"/>
              </w:tabs>
              <w:spacing w:after="120"/>
              <w:ind w:firstLine="709"/>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якщо вплив планованої діяльності не виходить за межі області, громадські слухання проводяться у адміністративному центрі</w:t>
            </w:r>
            <w:r w:rsidRPr="00A83F6C">
              <w:rPr>
                <w:rFonts w:ascii="Arial" w:hAnsi="Arial" w:cs="Arial"/>
                <w:noProof/>
                <w:sz w:val="22"/>
                <w:szCs w:val="22"/>
                <w:lang w:val="uk-UA"/>
              </w:rPr>
              <w:t xml:space="preserve"> </w:t>
            </w:r>
            <w:r w:rsidRPr="00A83F6C">
              <w:rPr>
                <w:rFonts w:ascii="Arial" w:hAnsi="Arial" w:cs="Arial"/>
                <w:noProof/>
                <w:color w:val="000000" w:themeColor="text1"/>
                <w:sz w:val="22"/>
                <w:szCs w:val="22"/>
                <w:lang w:val="uk-UA"/>
              </w:rPr>
              <w:t>адміністративно-територіальної одиниці, яка може зазнати впливу планованої діяльності;</w:t>
            </w:r>
          </w:p>
          <w:p w14:paraId="6D9D46E4" w14:textId="77777777" w:rsidR="00D01B2E" w:rsidRPr="00A83F6C" w:rsidRDefault="00D01B2E" w:rsidP="00041452">
            <w:pPr>
              <w:tabs>
                <w:tab w:val="left" w:pos="1134"/>
              </w:tabs>
              <w:spacing w:after="120"/>
              <w:ind w:firstLine="709"/>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якщо вплив планованої діяльності поширюється на дві і більше областей, але менше третини областей України, громадські слухання проводяться у адміністративних центрах</w:t>
            </w:r>
            <w:r w:rsidRPr="00A83F6C">
              <w:rPr>
                <w:rFonts w:ascii="Arial" w:hAnsi="Arial" w:cs="Arial"/>
                <w:noProof/>
                <w:sz w:val="22"/>
                <w:szCs w:val="22"/>
                <w:lang w:val="uk-UA"/>
              </w:rPr>
              <w:t xml:space="preserve"> </w:t>
            </w:r>
            <w:r w:rsidRPr="00A83F6C">
              <w:rPr>
                <w:rFonts w:ascii="Arial" w:hAnsi="Arial" w:cs="Arial"/>
                <w:noProof/>
                <w:color w:val="000000" w:themeColor="text1"/>
                <w:sz w:val="22"/>
                <w:szCs w:val="22"/>
                <w:lang w:val="uk-UA"/>
              </w:rPr>
              <w:lastRenderedPageBreak/>
              <w:t>адміністративно-територіальних одиниць, які можуть зазнати впливу планованої діяльності, кожної із таких областей.</w:t>
            </w:r>
          </w:p>
          <w:p w14:paraId="63CCE050" w14:textId="0C8A6B1F" w:rsidR="00D01B2E" w:rsidRPr="00A83F6C" w:rsidRDefault="00D01B2E" w:rsidP="005379F8">
            <w:pPr>
              <w:tabs>
                <w:tab w:val="left" w:pos="1134"/>
              </w:tabs>
              <w:spacing w:after="120"/>
              <w:ind w:firstLine="709"/>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якщо вплив планованої діяльності поширюється на більше третини областей України, громадські слухання додатково проводяться у місті Києві.</w:t>
            </w:r>
          </w:p>
        </w:tc>
        <w:tc>
          <w:tcPr>
            <w:tcW w:w="2367" w:type="dxa"/>
          </w:tcPr>
          <w:p w14:paraId="45C655EC" w14:textId="77777777" w:rsidR="00D01B2E" w:rsidRPr="00A83F6C" w:rsidRDefault="00D01B2E" w:rsidP="00041452">
            <w:pPr>
              <w:rPr>
                <w:rFonts w:ascii="Arial" w:hAnsi="Arial" w:cs="Arial"/>
                <w:noProof/>
                <w:sz w:val="22"/>
                <w:szCs w:val="22"/>
                <w:lang w:val="uk-UA"/>
              </w:rPr>
            </w:pPr>
          </w:p>
        </w:tc>
      </w:tr>
      <w:tr w:rsidR="00D01B2E" w:rsidRPr="00672F9A" w14:paraId="06DD2436" w14:textId="77777777" w:rsidTr="00E504A3">
        <w:tc>
          <w:tcPr>
            <w:tcW w:w="3397" w:type="dxa"/>
          </w:tcPr>
          <w:p w14:paraId="1390A034" w14:textId="62895B73" w:rsidR="00D01B2E" w:rsidRPr="00A83F6C" w:rsidRDefault="00D01B2E" w:rsidP="00041452">
            <w:pPr>
              <w:tabs>
                <w:tab w:val="left" w:pos="993"/>
              </w:tabs>
              <w:spacing w:after="120"/>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lastRenderedPageBreak/>
              <w:t xml:space="preserve">Громадські слухання проводяться не раніше десяти робочих днів з дня опублікування уповноваженим центральним органом або уповноваженим територіальним органом оголошення про початок громадського обговорення. </w:t>
            </w:r>
          </w:p>
        </w:tc>
        <w:tc>
          <w:tcPr>
            <w:tcW w:w="3359" w:type="dxa"/>
          </w:tcPr>
          <w:p w14:paraId="2E5EB49F" w14:textId="3F2B04ED" w:rsidR="00D01B2E" w:rsidRPr="00A83F6C" w:rsidRDefault="00D01B2E" w:rsidP="00041452">
            <w:pPr>
              <w:tabs>
                <w:tab w:val="left" w:pos="993"/>
              </w:tabs>
              <w:spacing w:after="120"/>
              <w:jc w:val="both"/>
              <w:rPr>
                <w:rFonts w:ascii="Arial" w:hAnsi="Arial" w:cs="Arial"/>
                <w:noProof/>
                <w:color w:val="000000" w:themeColor="text1"/>
                <w:sz w:val="22"/>
                <w:szCs w:val="22"/>
                <w:lang w:val="uk-UA"/>
              </w:rPr>
            </w:pPr>
          </w:p>
        </w:tc>
        <w:tc>
          <w:tcPr>
            <w:tcW w:w="2367" w:type="dxa"/>
          </w:tcPr>
          <w:p w14:paraId="0244076A" w14:textId="77777777" w:rsidR="00D01B2E" w:rsidRPr="00A83F6C" w:rsidRDefault="00D01B2E" w:rsidP="00041452">
            <w:pPr>
              <w:rPr>
                <w:rFonts w:ascii="Arial" w:hAnsi="Arial" w:cs="Arial"/>
                <w:noProof/>
                <w:sz w:val="22"/>
                <w:szCs w:val="22"/>
                <w:lang w:val="uk-UA"/>
              </w:rPr>
            </w:pPr>
          </w:p>
        </w:tc>
      </w:tr>
      <w:tr w:rsidR="00D01B2E" w:rsidRPr="004A57C3" w14:paraId="2A9DAC4B" w14:textId="77777777" w:rsidTr="00E504A3">
        <w:tc>
          <w:tcPr>
            <w:tcW w:w="3397" w:type="dxa"/>
          </w:tcPr>
          <w:p w14:paraId="3E4FC86A" w14:textId="5FDDB9C2" w:rsidR="00D01B2E" w:rsidRPr="00A83F6C" w:rsidRDefault="00D45D30" w:rsidP="00041452">
            <w:pPr>
              <w:tabs>
                <w:tab w:val="left" w:pos="993"/>
              </w:tabs>
              <w:spacing w:after="120"/>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Не має.</w:t>
            </w:r>
          </w:p>
        </w:tc>
        <w:tc>
          <w:tcPr>
            <w:tcW w:w="3359" w:type="dxa"/>
          </w:tcPr>
          <w:p w14:paraId="15C871B0" w14:textId="7068D1EF" w:rsidR="00D01B2E" w:rsidRPr="00A83F6C" w:rsidRDefault="00D45D30" w:rsidP="00041452">
            <w:pPr>
              <w:tabs>
                <w:tab w:val="left" w:pos="993"/>
              </w:tabs>
              <w:spacing w:after="120"/>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 xml:space="preserve">Доступ до документації на період з дня опублікування оголошення забезпечується уповноваженим органом чи організатором громадських слухань </w:t>
            </w:r>
            <w:r w:rsidR="00C81C4F">
              <w:rPr>
                <w:rFonts w:ascii="Arial" w:hAnsi="Arial" w:cs="Arial"/>
                <w:noProof/>
                <w:color w:val="000000" w:themeColor="text1"/>
                <w:sz w:val="22"/>
                <w:szCs w:val="22"/>
                <w:lang w:val="uk-UA"/>
              </w:rPr>
              <w:t xml:space="preserve">також </w:t>
            </w:r>
            <w:r w:rsidRPr="00A83F6C">
              <w:rPr>
                <w:rFonts w:ascii="Arial" w:hAnsi="Arial" w:cs="Arial"/>
                <w:noProof/>
                <w:color w:val="000000" w:themeColor="text1"/>
                <w:sz w:val="22"/>
                <w:szCs w:val="22"/>
                <w:lang w:val="uk-UA"/>
              </w:rPr>
              <w:t xml:space="preserve">шляхом: призначення контактної особи, відповідальної за організацію безперешкодного доступу до приміщення; забезпечення місцями для сидіння та столом, можливості фотозйомки матеріалів, здійснення ксерокопій (у разі </w:t>
            </w:r>
            <w:r w:rsidRPr="00A83F6C">
              <w:rPr>
                <w:rFonts w:ascii="Arial" w:hAnsi="Arial" w:cs="Arial"/>
                <w:noProof/>
                <w:color w:val="000000" w:themeColor="text1"/>
                <w:sz w:val="22"/>
                <w:szCs w:val="22"/>
                <w:lang w:val="uk-UA"/>
              </w:rPr>
              <w:lastRenderedPageBreak/>
              <w:t xml:space="preserve">потреби за додаткову плату), можливості отримати матеріали в електронному вигляді на пошту чи на пристрої запису інформації. </w:t>
            </w:r>
          </w:p>
        </w:tc>
        <w:tc>
          <w:tcPr>
            <w:tcW w:w="2367" w:type="dxa"/>
          </w:tcPr>
          <w:p w14:paraId="45BE24FC" w14:textId="51EC9DED" w:rsidR="00D01B2E" w:rsidRPr="00A83F6C" w:rsidRDefault="004A57C3" w:rsidP="00041452">
            <w:pPr>
              <w:rPr>
                <w:rFonts w:ascii="Arial" w:hAnsi="Arial" w:cs="Arial"/>
                <w:noProof/>
                <w:sz w:val="22"/>
                <w:szCs w:val="22"/>
                <w:lang w:val="uk-UA"/>
              </w:rPr>
            </w:pPr>
            <w:r>
              <w:rPr>
                <w:rFonts w:ascii="Arial" w:hAnsi="Arial" w:cs="Arial"/>
                <w:noProof/>
                <w:sz w:val="22"/>
                <w:szCs w:val="22"/>
                <w:lang w:val="uk-UA"/>
              </w:rPr>
              <w:lastRenderedPageBreak/>
              <w:t>Додати пункт.</w:t>
            </w:r>
          </w:p>
        </w:tc>
      </w:tr>
      <w:tr w:rsidR="00D01B2E" w:rsidRPr="00672F9A" w14:paraId="25943020" w14:textId="77777777" w:rsidTr="00E504A3">
        <w:tc>
          <w:tcPr>
            <w:tcW w:w="3397" w:type="dxa"/>
          </w:tcPr>
          <w:p w14:paraId="409AA04D" w14:textId="25E41812" w:rsidR="00D01B2E" w:rsidRPr="00A83F6C" w:rsidRDefault="00D01B2E" w:rsidP="005379F8">
            <w:pPr>
              <w:tabs>
                <w:tab w:val="left" w:pos="993"/>
                <w:tab w:val="left" w:pos="1418"/>
              </w:tabs>
              <w:spacing w:after="120"/>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lastRenderedPageBreak/>
              <w:t xml:space="preserve">Місце та час проведення громадських слухань визначаються спільно уповноваженим центральним органом або уповноваженим територіальним органом, Організатором громадських слухань та суб’єктом господарювання до подання повідомлення </w:t>
            </w:r>
            <w:r w:rsidRPr="00A83F6C">
              <w:rPr>
                <w:rFonts w:ascii="Arial" w:hAnsi="Arial" w:cs="Arial"/>
                <w:noProof/>
                <w:color w:val="000000"/>
                <w:sz w:val="22"/>
                <w:szCs w:val="22"/>
                <w:shd w:val="clear" w:color="auto" w:fill="FFFFFF"/>
                <w:lang w:val="uk-UA"/>
              </w:rPr>
              <w:t xml:space="preserve">про початок громадського обговорення звіту з оцінки впливу на довкілля, </w:t>
            </w:r>
            <w:r w:rsidRPr="00A83F6C">
              <w:rPr>
                <w:rFonts w:ascii="Arial" w:hAnsi="Arial" w:cs="Arial"/>
                <w:noProof/>
                <w:color w:val="000000" w:themeColor="text1"/>
                <w:sz w:val="22"/>
                <w:szCs w:val="22"/>
                <w:lang w:val="uk-UA"/>
              </w:rPr>
              <w:t xml:space="preserve">з урахуванням можливості забезпечення присутності всіх потенційних учасників. Громадські слухання повинні призначатися у робочі дні не раніше чотирнадцятої години, або у вихідні дні. </w:t>
            </w:r>
          </w:p>
        </w:tc>
        <w:tc>
          <w:tcPr>
            <w:tcW w:w="3359" w:type="dxa"/>
          </w:tcPr>
          <w:p w14:paraId="070485EA" w14:textId="004AB5DD" w:rsidR="00D01B2E" w:rsidRPr="00A83F6C" w:rsidRDefault="00D01B2E" w:rsidP="005379F8">
            <w:pPr>
              <w:tabs>
                <w:tab w:val="left" w:pos="993"/>
                <w:tab w:val="left" w:pos="1418"/>
              </w:tabs>
              <w:spacing w:after="120"/>
              <w:jc w:val="both"/>
              <w:rPr>
                <w:rFonts w:ascii="Arial" w:hAnsi="Arial" w:cs="Arial"/>
                <w:noProof/>
                <w:color w:val="000000" w:themeColor="text1"/>
                <w:sz w:val="22"/>
                <w:szCs w:val="22"/>
                <w:lang w:val="uk-UA"/>
              </w:rPr>
            </w:pPr>
          </w:p>
        </w:tc>
        <w:tc>
          <w:tcPr>
            <w:tcW w:w="2367" w:type="dxa"/>
          </w:tcPr>
          <w:p w14:paraId="5392109D" w14:textId="77777777" w:rsidR="00D01B2E" w:rsidRPr="00A83F6C" w:rsidRDefault="00D01B2E" w:rsidP="00041452">
            <w:pPr>
              <w:rPr>
                <w:rFonts w:ascii="Arial" w:hAnsi="Arial" w:cs="Arial"/>
                <w:noProof/>
                <w:sz w:val="22"/>
                <w:szCs w:val="22"/>
                <w:lang w:val="uk-UA"/>
              </w:rPr>
            </w:pPr>
          </w:p>
        </w:tc>
      </w:tr>
      <w:tr w:rsidR="00D01B2E" w:rsidRPr="00672F9A" w14:paraId="4E8CF660" w14:textId="77777777" w:rsidTr="00E504A3">
        <w:trPr>
          <w:trHeight w:val="647"/>
        </w:trPr>
        <w:tc>
          <w:tcPr>
            <w:tcW w:w="3397" w:type="dxa"/>
          </w:tcPr>
          <w:p w14:paraId="2FAF61BD" w14:textId="77777777" w:rsidR="007F476F" w:rsidRPr="00A83F6C" w:rsidRDefault="007F476F" w:rsidP="00041452">
            <w:pPr>
              <w:tabs>
                <w:tab w:val="left" w:pos="993"/>
                <w:tab w:val="left" w:pos="1418"/>
              </w:tabs>
              <w:spacing w:after="120"/>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 xml:space="preserve">Громадські слухання вважаються такими, що не відбулися, у разі: </w:t>
            </w:r>
          </w:p>
          <w:p w14:paraId="7645635A" w14:textId="77777777" w:rsidR="007F476F" w:rsidRPr="00A83F6C" w:rsidRDefault="007F476F" w:rsidP="00041452">
            <w:pPr>
              <w:pStyle w:val="ListParagraph"/>
              <w:numPr>
                <w:ilvl w:val="1"/>
                <w:numId w:val="18"/>
              </w:numPr>
              <w:tabs>
                <w:tab w:val="left" w:pos="993"/>
                <w:tab w:val="left" w:pos="1418"/>
              </w:tabs>
              <w:spacing w:after="120" w:line="240" w:lineRule="auto"/>
              <w:ind w:left="0" w:firstLine="709"/>
              <w:jc w:val="both"/>
              <w:rPr>
                <w:rFonts w:ascii="Arial" w:hAnsi="Arial" w:cs="Arial"/>
                <w:noProof/>
                <w:color w:val="000000" w:themeColor="text1"/>
                <w:lang w:val="uk-UA"/>
              </w:rPr>
            </w:pPr>
            <w:r w:rsidRPr="00A83F6C">
              <w:rPr>
                <w:rFonts w:ascii="Arial" w:hAnsi="Arial" w:cs="Arial"/>
                <w:noProof/>
                <w:color w:val="000000" w:themeColor="text1"/>
                <w:lang w:val="uk-UA"/>
              </w:rPr>
              <w:t xml:space="preserve">на громадські слухання не з’явився організатор громадських слухань. </w:t>
            </w:r>
          </w:p>
          <w:p w14:paraId="5F016FC6" w14:textId="77777777" w:rsidR="007F476F" w:rsidRPr="00A83F6C" w:rsidRDefault="007F476F" w:rsidP="00041452">
            <w:pPr>
              <w:pStyle w:val="ListParagraph"/>
              <w:numPr>
                <w:ilvl w:val="1"/>
                <w:numId w:val="18"/>
              </w:numPr>
              <w:tabs>
                <w:tab w:val="left" w:pos="993"/>
                <w:tab w:val="left" w:pos="1418"/>
              </w:tabs>
              <w:spacing w:after="120" w:line="240" w:lineRule="auto"/>
              <w:ind w:left="0" w:firstLine="709"/>
              <w:jc w:val="both"/>
              <w:rPr>
                <w:rFonts w:ascii="Arial" w:hAnsi="Arial" w:cs="Arial"/>
                <w:noProof/>
                <w:color w:val="000000" w:themeColor="text1"/>
                <w:lang w:val="uk-UA"/>
              </w:rPr>
            </w:pPr>
            <w:r w:rsidRPr="00A83F6C">
              <w:rPr>
                <w:rFonts w:ascii="Arial" w:hAnsi="Arial" w:cs="Arial"/>
                <w:noProof/>
                <w:color w:val="000000" w:themeColor="text1"/>
                <w:lang w:val="uk-UA"/>
              </w:rPr>
              <w:lastRenderedPageBreak/>
              <w:t xml:space="preserve">на громадські слухання не з’явився суб’єкт господарювання. </w:t>
            </w:r>
          </w:p>
          <w:p w14:paraId="5529F757" w14:textId="77777777" w:rsidR="007F476F" w:rsidRPr="00A83F6C" w:rsidRDefault="007F476F" w:rsidP="00041452">
            <w:pPr>
              <w:tabs>
                <w:tab w:val="left" w:pos="993"/>
                <w:tab w:val="left" w:pos="1418"/>
              </w:tabs>
              <w:spacing w:after="120"/>
              <w:ind w:firstLine="709"/>
              <w:contextualSpacing/>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 xml:space="preserve">У разі визнання громадських слухань такими, що не відбулися, обов’язково проводяться додаткові громадські слухання. Опублікування оголошення про проведення додаткових громадських слухань та проведення додаткових громадських слухань у таких випадках здійснюється за рахунок суб’єкта, що не з’явився на громадські слухання. </w:t>
            </w:r>
          </w:p>
          <w:p w14:paraId="6E6F3A81" w14:textId="77777777" w:rsidR="00D01B2E" w:rsidRPr="00A83F6C" w:rsidRDefault="00D01B2E" w:rsidP="00041452">
            <w:pPr>
              <w:tabs>
                <w:tab w:val="left" w:pos="993"/>
                <w:tab w:val="left" w:pos="1418"/>
              </w:tabs>
              <w:spacing w:after="120"/>
              <w:jc w:val="both"/>
              <w:rPr>
                <w:rFonts w:ascii="Arial" w:hAnsi="Arial" w:cs="Arial"/>
                <w:noProof/>
                <w:color w:val="000000" w:themeColor="text1"/>
                <w:sz w:val="22"/>
                <w:szCs w:val="22"/>
                <w:lang w:val="uk-UA"/>
              </w:rPr>
            </w:pPr>
          </w:p>
        </w:tc>
        <w:tc>
          <w:tcPr>
            <w:tcW w:w="3359" w:type="dxa"/>
          </w:tcPr>
          <w:p w14:paraId="7F3F18BF" w14:textId="77777777" w:rsidR="007F476F" w:rsidRPr="00A83F6C" w:rsidRDefault="007F476F" w:rsidP="00041452">
            <w:pPr>
              <w:tabs>
                <w:tab w:val="left" w:pos="993"/>
                <w:tab w:val="left" w:pos="1418"/>
              </w:tabs>
              <w:spacing w:after="120"/>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lastRenderedPageBreak/>
              <w:t xml:space="preserve">Громадські слухання вважаються такими, що не відбулися, у разі: </w:t>
            </w:r>
          </w:p>
          <w:p w14:paraId="32A54622" w14:textId="77777777" w:rsidR="007F476F" w:rsidRPr="00A83F6C" w:rsidRDefault="007F476F" w:rsidP="00041452">
            <w:pPr>
              <w:pStyle w:val="ListParagraph"/>
              <w:numPr>
                <w:ilvl w:val="1"/>
                <w:numId w:val="43"/>
              </w:numPr>
              <w:tabs>
                <w:tab w:val="left" w:pos="993"/>
                <w:tab w:val="left" w:pos="1418"/>
              </w:tabs>
              <w:spacing w:after="120" w:line="240" w:lineRule="auto"/>
              <w:ind w:left="0" w:firstLine="709"/>
              <w:jc w:val="both"/>
              <w:rPr>
                <w:rFonts w:ascii="Arial" w:hAnsi="Arial" w:cs="Arial"/>
                <w:noProof/>
                <w:color w:val="000000" w:themeColor="text1"/>
                <w:lang w:val="uk-UA"/>
              </w:rPr>
            </w:pPr>
            <w:r w:rsidRPr="00A83F6C">
              <w:rPr>
                <w:rFonts w:ascii="Arial" w:hAnsi="Arial" w:cs="Arial"/>
                <w:noProof/>
                <w:color w:val="000000" w:themeColor="text1"/>
                <w:lang w:val="uk-UA"/>
              </w:rPr>
              <w:t>на громадські слухання не з’явився організатор громадських слухань чи уповноважений центральний орган;</w:t>
            </w:r>
          </w:p>
          <w:p w14:paraId="09804BD0" w14:textId="77777777" w:rsidR="007F476F" w:rsidRPr="00A83F6C" w:rsidRDefault="007F476F" w:rsidP="00041452">
            <w:pPr>
              <w:pStyle w:val="ListParagraph"/>
              <w:numPr>
                <w:ilvl w:val="1"/>
                <w:numId w:val="43"/>
              </w:numPr>
              <w:tabs>
                <w:tab w:val="left" w:pos="993"/>
                <w:tab w:val="left" w:pos="1418"/>
              </w:tabs>
              <w:spacing w:after="120" w:line="240" w:lineRule="auto"/>
              <w:ind w:left="0" w:firstLine="709"/>
              <w:jc w:val="both"/>
              <w:rPr>
                <w:rFonts w:ascii="Arial" w:hAnsi="Arial" w:cs="Arial"/>
                <w:noProof/>
                <w:color w:val="000000" w:themeColor="text1"/>
                <w:lang w:val="uk-UA"/>
              </w:rPr>
            </w:pPr>
            <w:r w:rsidRPr="00A83F6C">
              <w:rPr>
                <w:rFonts w:ascii="Arial" w:hAnsi="Arial" w:cs="Arial"/>
                <w:noProof/>
                <w:color w:val="000000" w:themeColor="text1"/>
                <w:lang w:val="uk-UA"/>
              </w:rPr>
              <w:lastRenderedPageBreak/>
              <w:t>на громадські слухання не з’явився суб’єкт господарювання, чи уповноважена особа.</w:t>
            </w:r>
          </w:p>
          <w:p w14:paraId="19E92CA7" w14:textId="77777777" w:rsidR="007F476F" w:rsidRPr="00A83F6C" w:rsidRDefault="007F476F" w:rsidP="00041452">
            <w:pPr>
              <w:tabs>
                <w:tab w:val="left" w:pos="993"/>
                <w:tab w:val="left" w:pos="1418"/>
              </w:tabs>
              <w:spacing w:after="120"/>
              <w:contextualSpacing/>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 xml:space="preserve">У разі визнання громадських слухань такими, що не відбулися, обов’язково проводяться додаткові громадські слухання. Опублікування оголошення про проведення додаткових громадських слухань та проведення додаткових громадських слухань у таких випадках здійснюється за рахунок суб’єкта, що не з’явився на громадські слухання. </w:t>
            </w:r>
          </w:p>
          <w:p w14:paraId="2162BE17" w14:textId="77777777" w:rsidR="007F476F" w:rsidRPr="00C81C4F" w:rsidRDefault="007F476F" w:rsidP="00041452">
            <w:pPr>
              <w:tabs>
                <w:tab w:val="left" w:pos="993"/>
                <w:tab w:val="left" w:pos="1418"/>
              </w:tabs>
              <w:spacing w:after="120"/>
              <w:ind w:firstLine="709"/>
              <w:contextualSpacing/>
              <w:jc w:val="both"/>
              <w:rPr>
                <w:rFonts w:ascii="Arial" w:hAnsi="Arial" w:cs="Arial"/>
                <w:b/>
                <w:noProof/>
                <w:color w:val="000000" w:themeColor="text1"/>
                <w:sz w:val="22"/>
                <w:szCs w:val="22"/>
                <w:lang w:val="uk-UA"/>
              </w:rPr>
            </w:pPr>
            <w:r w:rsidRPr="00C81C4F">
              <w:rPr>
                <w:rFonts w:ascii="Arial" w:hAnsi="Arial" w:cs="Arial"/>
                <w:b/>
                <w:noProof/>
                <w:color w:val="000000" w:themeColor="text1"/>
                <w:sz w:val="22"/>
                <w:szCs w:val="22"/>
                <w:lang w:val="uk-UA"/>
              </w:rPr>
              <w:t>Не можуть вважати слухання такими, що не відбулися, якщо на них не з’явилася належним чином проінформована громадськість.</w:t>
            </w:r>
          </w:p>
          <w:p w14:paraId="3C24699D" w14:textId="6CCFFA4C" w:rsidR="00D01B2E" w:rsidRPr="00A83F6C" w:rsidRDefault="007F476F" w:rsidP="00C81C4F">
            <w:pPr>
              <w:tabs>
                <w:tab w:val="left" w:pos="993"/>
                <w:tab w:val="left" w:pos="1418"/>
              </w:tabs>
              <w:spacing w:after="120"/>
              <w:ind w:firstLine="709"/>
              <w:contextualSpacing/>
              <w:jc w:val="both"/>
              <w:rPr>
                <w:rFonts w:ascii="Arial" w:hAnsi="Arial" w:cs="Arial"/>
                <w:noProof/>
                <w:color w:val="000000" w:themeColor="text1"/>
                <w:sz w:val="22"/>
                <w:szCs w:val="22"/>
                <w:lang w:val="uk-UA"/>
              </w:rPr>
            </w:pPr>
            <w:r w:rsidRPr="00C81C4F">
              <w:rPr>
                <w:rFonts w:ascii="Arial" w:hAnsi="Arial" w:cs="Arial"/>
                <w:b/>
                <w:noProof/>
                <w:color w:val="000000" w:themeColor="text1"/>
                <w:sz w:val="22"/>
                <w:szCs w:val="22"/>
                <w:lang w:val="uk-UA"/>
              </w:rPr>
              <w:t>Про</w:t>
            </w:r>
            <w:r w:rsidR="00B1623A" w:rsidRPr="00C81C4F">
              <w:rPr>
                <w:rFonts w:ascii="Arial" w:hAnsi="Arial" w:cs="Arial"/>
                <w:b/>
                <w:noProof/>
                <w:color w:val="000000" w:themeColor="text1"/>
                <w:sz w:val="22"/>
                <w:szCs w:val="22"/>
                <w:lang w:val="uk-UA"/>
              </w:rPr>
              <w:t xml:space="preserve"> </w:t>
            </w:r>
            <w:r w:rsidRPr="00C81C4F">
              <w:rPr>
                <w:rFonts w:ascii="Arial" w:hAnsi="Arial" w:cs="Arial"/>
                <w:b/>
                <w:noProof/>
                <w:color w:val="000000" w:themeColor="text1"/>
                <w:sz w:val="22"/>
                <w:szCs w:val="22"/>
                <w:lang w:val="uk-UA"/>
              </w:rPr>
              <w:t>те, що громадські слухання не відбулися</w:t>
            </w:r>
            <w:r w:rsidR="00B1623A" w:rsidRPr="00C81C4F">
              <w:rPr>
                <w:rFonts w:ascii="Arial" w:hAnsi="Arial" w:cs="Arial"/>
                <w:b/>
                <w:noProof/>
                <w:color w:val="000000" w:themeColor="text1"/>
                <w:sz w:val="22"/>
                <w:szCs w:val="22"/>
                <w:lang w:val="uk-UA"/>
              </w:rPr>
              <w:t>,</w:t>
            </w:r>
            <w:r w:rsidRPr="00C81C4F">
              <w:rPr>
                <w:rFonts w:ascii="Arial" w:hAnsi="Arial" w:cs="Arial"/>
                <w:b/>
                <w:noProof/>
                <w:color w:val="000000" w:themeColor="text1"/>
                <w:sz w:val="22"/>
                <w:szCs w:val="22"/>
                <w:lang w:val="uk-UA"/>
              </w:rPr>
              <w:t xml:space="preserve"> складається акт</w:t>
            </w:r>
            <w:r w:rsidR="00C81C4F">
              <w:rPr>
                <w:rFonts w:ascii="Arial" w:hAnsi="Arial" w:cs="Arial"/>
                <w:b/>
                <w:noProof/>
                <w:color w:val="000000" w:themeColor="text1"/>
                <w:sz w:val="22"/>
                <w:szCs w:val="22"/>
                <w:lang w:val="uk-UA"/>
              </w:rPr>
              <w:t xml:space="preserve">, </w:t>
            </w:r>
            <w:r w:rsidR="00C81C4F">
              <w:rPr>
                <w:rFonts w:ascii="Arial" w:hAnsi="Arial" w:cs="Arial"/>
                <w:b/>
                <w:noProof/>
                <w:color w:val="000000" w:themeColor="text1"/>
                <w:sz w:val="22"/>
                <w:szCs w:val="22"/>
                <w:lang w:val="uk-UA"/>
              </w:rPr>
              <w:t>за формою встановленою Додатком</w:t>
            </w:r>
            <w:r w:rsidR="00C81C4F" w:rsidRPr="00C81C4F">
              <w:rPr>
                <w:rFonts w:ascii="Arial" w:hAnsi="Arial" w:cs="Arial"/>
                <w:b/>
                <w:noProof/>
                <w:color w:val="000000" w:themeColor="text1"/>
                <w:sz w:val="22"/>
                <w:szCs w:val="22"/>
                <w:lang w:val="uk-UA"/>
              </w:rPr>
              <w:t xml:space="preserve"> 5.</w:t>
            </w:r>
          </w:p>
        </w:tc>
        <w:tc>
          <w:tcPr>
            <w:tcW w:w="2367" w:type="dxa"/>
          </w:tcPr>
          <w:p w14:paraId="5BF48486" w14:textId="77777777" w:rsidR="00D01B2E" w:rsidRPr="00A83F6C" w:rsidRDefault="00D01B2E" w:rsidP="00041452">
            <w:pPr>
              <w:rPr>
                <w:rFonts w:ascii="Arial" w:hAnsi="Arial" w:cs="Arial"/>
                <w:noProof/>
                <w:sz w:val="22"/>
                <w:szCs w:val="22"/>
                <w:lang w:val="uk-UA"/>
              </w:rPr>
            </w:pPr>
          </w:p>
        </w:tc>
      </w:tr>
      <w:tr w:rsidR="007F476F" w:rsidRPr="00672F9A" w14:paraId="23E5F7D8" w14:textId="77777777" w:rsidTr="00E504A3">
        <w:tc>
          <w:tcPr>
            <w:tcW w:w="3397" w:type="dxa"/>
          </w:tcPr>
          <w:p w14:paraId="58FA98B2" w14:textId="499D8E56" w:rsidR="007F476F" w:rsidRPr="00A83F6C" w:rsidRDefault="007F476F" w:rsidP="005379F8">
            <w:pPr>
              <w:tabs>
                <w:tab w:val="left" w:pos="993"/>
              </w:tabs>
              <w:spacing w:after="120"/>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lastRenderedPageBreak/>
              <w:t xml:space="preserve">Проведення додаткових громадських слухань відбувається не менш ніж через п’ять робочих днів після офіційного опублікування повідомлення про проведення додаткових громадських </w:t>
            </w:r>
            <w:r w:rsidRPr="00A83F6C">
              <w:rPr>
                <w:rFonts w:ascii="Arial" w:hAnsi="Arial" w:cs="Arial"/>
                <w:noProof/>
                <w:color w:val="000000" w:themeColor="text1"/>
                <w:sz w:val="22"/>
                <w:szCs w:val="22"/>
                <w:lang w:val="uk-UA"/>
              </w:rPr>
              <w:lastRenderedPageBreak/>
              <w:t>слухань. Оприлюднення повідомлення про проведення додаткових громадських слухань відбувається у той же спосіб, що і оголошення про початок громадського обговорення. Зміст повідомлення про проведення додаткових громадських слухань повинен відображати усю інформацію, що включалася до оголошення про початок громадського обговорення із зазначенням дати, часу і місця проведення додаткових громадських слухань.</w:t>
            </w:r>
          </w:p>
        </w:tc>
        <w:tc>
          <w:tcPr>
            <w:tcW w:w="3359" w:type="dxa"/>
          </w:tcPr>
          <w:p w14:paraId="20C0D6B5" w14:textId="01C2191E" w:rsidR="007F476F" w:rsidRPr="00A83F6C" w:rsidRDefault="007F476F" w:rsidP="005379F8">
            <w:pPr>
              <w:tabs>
                <w:tab w:val="left" w:pos="993"/>
              </w:tabs>
              <w:spacing w:after="120"/>
              <w:jc w:val="both"/>
              <w:rPr>
                <w:rFonts w:ascii="Arial" w:hAnsi="Arial" w:cs="Arial"/>
                <w:noProof/>
                <w:color w:val="000000" w:themeColor="text1"/>
                <w:sz w:val="22"/>
                <w:szCs w:val="22"/>
                <w:lang w:val="uk-UA"/>
              </w:rPr>
            </w:pPr>
          </w:p>
        </w:tc>
        <w:tc>
          <w:tcPr>
            <w:tcW w:w="2367" w:type="dxa"/>
          </w:tcPr>
          <w:p w14:paraId="20F9A2C4" w14:textId="77777777" w:rsidR="007F476F" w:rsidRPr="00A83F6C" w:rsidRDefault="007F476F" w:rsidP="00041452">
            <w:pPr>
              <w:rPr>
                <w:rFonts w:ascii="Arial" w:hAnsi="Arial" w:cs="Arial"/>
                <w:noProof/>
                <w:sz w:val="22"/>
                <w:szCs w:val="22"/>
                <w:lang w:val="uk-UA"/>
              </w:rPr>
            </w:pPr>
          </w:p>
        </w:tc>
      </w:tr>
      <w:tr w:rsidR="00D01B2E" w:rsidRPr="00672F9A" w14:paraId="081FCDF1" w14:textId="77777777" w:rsidTr="00E504A3">
        <w:tc>
          <w:tcPr>
            <w:tcW w:w="3397" w:type="dxa"/>
          </w:tcPr>
          <w:p w14:paraId="0EBF47AF" w14:textId="77777777" w:rsidR="007F476F" w:rsidRPr="00A83F6C" w:rsidRDefault="007F476F" w:rsidP="00041452">
            <w:pPr>
              <w:tabs>
                <w:tab w:val="left" w:pos="993"/>
              </w:tabs>
              <w:spacing w:after="120"/>
              <w:contextualSpacing/>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lastRenderedPageBreak/>
              <w:t>Повний перебіг громадського слухання фіксується із застосуванням стенографічних або аудіовізуальних методів. Стенограма, аудіо чи відео запис є невід’ємною частиною протоколу громадських слухань. Стенограму, в разі відсутності аудіовізуального запису, а також аудіо чи відеозапис веде представник організатора громадських слухань.</w:t>
            </w:r>
          </w:p>
          <w:p w14:paraId="581BB110" w14:textId="77777777" w:rsidR="00D01B2E" w:rsidRPr="00A83F6C" w:rsidRDefault="00D01B2E" w:rsidP="00041452">
            <w:pPr>
              <w:tabs>
                <w:tab w:val="left" w:pos="993"/>
                <w:tab w:val="left" w:pos="1418"/>
              </w:tabs>
              <w:spacing w:after="120"/>
              <w:jc w:val="both"/>
              <w:rPr>
                <w:rFonts w:ascii="Arial" w:hAnsi="Arial" w:cs="Arial"/>
                <w:noProof/>
                <w:color w:val="000000" w:themeColor="text1"/>
                <w:sz w:val="22"/>
                <w:szCs w:val="22"/>
                <w:lang w:val="uk-UA"/>
              </w:rPr>
            </w:pPr>
          </w:p>
        </w:tc>
        <w:tc>
          <w:tcPr>
            <w:tcW w:w="3359" w:type="dxa"/>
          </w:tcPr>
          <w:p w14:paraId="39649857" w14:textId="0E4A4FC5" w:rsidR="00D01B2E" w:rsidRPr="00A83F6C" w:rsidRDefault="00D01B2E" w:rsidP="005379F8">
            <w:pPr>
              <w:tabs>
                <w:tab w:val="left" w:pos="993"/>
              </w:tabs>
              <w:spacing w:after="120"/>
              <w:contextualSpacing/>
              <w:jc w:val="both"/>
              <w:rPr>
                <w:rFonts w:ascii="Arial" w:hAnsi="Arial" w:cs="Arial"/>
                <w:noProof/>
                <w:color w:val="000000" w:themeColor="text1"/>
                <w:sz w:val="22"/>
                <w:szCs w:val="22"/>
                <w:lang w:val="uk-UA"/>
              </w:rPr>
            </w:pPr>
          </w:p>
        </w:tc>
        <w:tc>
          <w:tcPr>
            <w:tcW w:w="2367" w:type="dxa"/>
          </w:tcPr>
          <w:p w14:paraId="6335202A" w14:textId="77777777" w:rsidR="00D01B2E" w:rsidRPr="00A83F6C" w:rsidRDefault="00D01B2E" w:rsidP="00041452">
            <w:pPr>
              <w:rPr>
                <w:rFonts w:ascii="Arial" w:hAnsi="Arial" w:cs="Arial"/>
                <w:noProof/>
                <w:sz w:val="22"/>
                <w:szCs w:val="22"/>
                <w:lang w:val="uk-UA"/>
              </w:rPr>
            </w:pPr>
          </w:p>
        </w:tc>
      </w:tr>
      <w:tr w:rsidR="00D01B2E" w:rsidRPr="00672F9A" w14:paraId="675E2E45" w14:textId="77777777" w:rsidTr="00E504A3">
        <w:trPr>
          <w:trHeight w:val="1975"/>
        </w:trPr>
        <w:tc>
          <w:tcPr>
            <w:tcW w:w="3397" w:type="dxa"/>
          </w:tcPr>
          <w:p w14:paraId="0C6EBE3C" w14:textId="77777777" w:rsidR="007F476F" w:rsidRPr="00A83F6C" w:rsidRDefault="007F476F" w:rsidP="00041452">
            <w:pPr>
              <w:tabs>
                <w:tab w:val="left" w:pos="993"/>
              </w:tabs>
              <w:spacing w:after="120"/>
              <w:contextualSpacing/>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lastRenderedPageBreak/>
              <w:t xml:space="preserve">Громадські слухання проводяться під головуванням представника організатора громадських слухань, який зобов’язаний: </w:t>
            </w:r>
          </w:p>
          <w:p w14:paraId="0F84C54A" w14:textId="77777777" w:rsidR="007F476F" w:rsidRPr="00A83F6C" w:rsidRDefault="007F476F" w:rsidP="00041452">
            <w:pPr>
              <w:widowControl w:val="0"/>
              <w:tabs>
                <w:tab w:val="left" w:pos="993"/>
              </w:tabs>
              <w:autoSpaceDE w:val="0"/>
              <w:autoSpaceDN w:val="0"/>
              <w:spacing w:after="120"/>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відкрити громадські слухання (представлення головуючого та представника суб’єкту господарювання, планованої діяльності щодо якої проводяться слухання);</w:t>
            </w:r>
          </w:p>
          <w:p w14:paraId="739151EA" w14:textId="77777777" w:rsidR="007F476F" w:rsidRPr="00A83F6C" w:rsidRDefault="007F476F" w:rsidP="00041452">
            <w:pPr>
              <w:widowControl w:val="0"/>
              <w:tabs>
                <w:tab w:val="left" w:pos="993"/>
              </w:tabs>
              <w:autoSpaceDE w:val="0"/>
              <w:autoSpaceDN w:val="0"/>
              <w:spacing w:after="120"/>
              <w:ind w:firstLine="709"/>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 xml:space="preserve">оголошення порядку денного і регламенту громадських слухань; </w:t>
            </w:r>
          </w:p>
          <w:p w14:paraId="29007A64" w14:textId="77777777" w:rsidR="007F476F" w:rsidRPr="00A83F6C" w:rsidRDefault="007F476F" w:rsidP="00041452">
            <w:pPr>
              <w:tabs>
                <w:tab w:val="left" w:pos="993"/>
              </w:tabs>
              <w:spacing w:after="120"/>
              <w:ind w:firstLine="709"/>
              <w:contextualSpacing/>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 xml:space="preserve">інформувати про ведення стенограми, аудіо чи відео запису, про порядок ведення протоколу, подання усних та письмових зауважень та пропозицій; </w:t>
            </w:r>
          </w:p>
          <w:p w14:paraId="126415E3" w14:textId="77777777" w:rsidR="007F476F" w:rsidRPr="00A83F6C" w:rsidRDefault="007F476F" w:rsidP="00041452">
            <w:pPr>
              <w:tabs>
                <w:tab w:val="left" w:pos="993"/>
              </w:tabs>
              <w:spacing w:after="120"/>
              <w:ind w:firstLine="709"/>
              <w:contextualSpacing/>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надати можливості суб’єкту господарювання викласти основні відомості щодо планованої діяльності та положення звіту з оцінки впливу на довкілля, яка підлягає обговоренню, та проблемні питання, що заслуговують на увагу громадськості;</w:t>
            </w:r>
          </w:p>
          <w:p w14:paraId="24A86ADA" w14:textId="77777777" w:rsidR="007F476F" w:rsidRPr="00A83F6C" w:rsidRDefault="007F476F" w:rsidP="00041452">
            <w:pPr>
              <w:tabs>
                <w:tab w:val="left" w:pos="993"/>
              </w:tabs>
              <w:spacing w:after="120"/>
              <w:ind w:firstLine="709"/>
              <w:contextualSpacing/>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 xml:space="preserve">надати можливості представникам громадськості поставити запитання та висловити свою думку; </w:t>
            </w:r>
          </w:p>
          <w:p w14:paraId="6C17E850" w14:textId="77777777" w:rsidR="007F476F" w:rsidRPr="00A83F6C" w:rsidRDefault="007F476F" w:rsidP="00041452">
            <w:pPr>
              <w:tabs>
                <w:tab w:val="left" w:pos="993"/>
              </w:tabs>
              <w:spacing w:after="120"/>
              <w:ind w:firstLine="709"/>
              <w:contextualSpacing/>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lastRenderedPageBreak/>
              <w:t xml:space="preserve">забезпечити ведення обговорення, подання пропозицій та зауважень громадськості з дотриманням регламенту; </w:t>
            </w:r>
          </w:p>
          <w:p w14:paraId="20548CA7" w14:textId="267AFC8B" w:rsidR="00D01B2E" w:rsidRPr="00A83F6C" w:rsidRDefault="007F476F" w:rsidP="005379F8">
            <w:pPr>
              <w:tabs>
                <w:tab w:val="left" w:pos="993"/>
              </w:tabs>
              <w:spacing w:after="120"/>
              <w:ind w:firstLine="709"/>
              <w:contextualSpacing/>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підвести підсумки громадських слухань та інформування учасників слухань про порядок врахування зауважень та пропозицій громадськості уповноваженим органом.</w:t>
            </w:r>
          </w:p>
        </w:tc>
        <w:tc>
          <w:tcPr>
            <w:tcW w:w="3359" w:type="dxa"/>
          </w:tcPr>
          <w:p w14:paraId="66A4A02F" w14:textId="53E2F110" w:rsidR="00D01B2E" w:rsidRPr="00A83F6C" w:rsidRDefault="00D01B2E" w:rsidP="005379F8">
            <w:pPr>
              <w:tabs>
                <w:tab w:val="left" w:pos="993"/>
              </w:tabs>
              <w:spacing w:after="120"/>
              <w:ind w:firstLine="709"/>
              <w:contextualSpacing/>
              <w:jc w:val="both"/>
              <w:rPr>
                <w:rFonts w:ascii="Arial" w:hAnsi="Arial" w:cs="Arial"/>
                <w:noProof/>
                <w:color w:val="000000" w:themeColor="text1"/>
                <w:sz w:val="22"/>
                <w:szCs w:val="22"/>
                <w:lang w:val="uk-UA"/>
              </w:rPr>
            </w:pPr>
          </w:p>
        </w:tc>
        <w:tc>
          <w:tcPr>
            <w:tcW w:w="2367" w:type="dxa"/>
          </w:tcPr>
          <w:p w14:paraId="54A209C8" w14:textId="77777777" w:rsidR="00D01B2E" w:rsidRPr="00A83F6C" w:rsidRDefault="00D01B2E" w:rsidP="00041452">
            <w:pPr>
              <w:rPr>
                <w:rFonts w:ascii="Arial" w:hAnsi="Arial" w:cs="Arial"/>
                <w:noProof/>
                <w:sz w:val="22"/>
                <w:szCs w:val="22"/>
                <w:lang w:val="uk-UA"/>
              </w:rPr>
            </w:pPr>
          </w:p>
        </w:tc>
      </w:tr>
      <w:tr w:rsidR="00D01B2E" w:rsidRPr="00672F9A" w14:paraId="1705A473" w14:textId="77777777" w:rsidTr="00E504A3">
        <w:tc>
          <w:tcPr>
            <w:tcW w:w="3397" w:type="dxa"/>
          </w:tcPr>
          <w:p w14:paraId="55F9568E" w14:textId="065B6041" w:rsidR="00D01B2E" w:rsidRPr="00A83F6C" w:rsidRDefault="003F725E" w:rsidP="00041452">
            <w:pPr>
              <w:tabs>
                <w:tab w:val="left" w:pos="993"/>
              </w:tabs>
              <w:spacing w:after="120"/>
              <w:contextualSpacing/>
              <w:jc w:val="both"/>
              <w:rPr>
                <w:rFonts w:ascii="Arial" w:hAnsi="Arial" w:cs="Arial"/>
                <w:noProof/>
                <w:color w:val="000000" w:themeColor="text1"/>
                <w:sz w:val="22"/>
                <w:szCs w:val="22"/>
                <w:lang w:val="uk-UA"/>
              </w:rPr>
            </w:pPr>
            <w:r w:rsidRPr="00A83F6C">
              <w:rPr>
                <w:rFonts w:ascii="Arial" w:hAnsi="Arial" w:cs="Arial"/>
                <w:noProof/>
                <w:sz w:val="22"/>
                <w:szCs w:val="22"/>
                <w:lang w:val="uk-UA"/>
              </w:rPr>
              <w:lastRenderedPageBreak/>
              <w:t>Хід та результати громадських слухань оформлюються протоколом, який підписується головуючим громадських слухань та скріплюється печаткою організатора громадських слухань</w:t>
            </w:r>
            <w:r w:rsidRPr="00A83F6C">
              <w:rPr>
                <w:rFonts w:ascii="Arial" w:hAnsi="Arial" w:cs="Arial"/>
                <w:noProof/>
                <w:color w:val="000000" w:themeColor="text1"/>
                <w:sz w:val="22"/>
                <w:szCs w:val="22"/>
                <w:lang w:val="uk-UA"/>
              </w:rPr>
              <w:t>.</w:t>
            </w:r>
          </w:p>
        </w:tc>
        <w:tc>
          <w:tcPr>
            <w:tcW w:w="3359" w:type="dxa"/>
          </w:tcPr>
          <w:p w14:paraId="597A6D23" w14:textId="4446E202" w:rsidR="00D01B2E" w:rsidRPr="005379F8" w:rsidRDefault="00D01B2E" w:rsidP="005379F8">
            <w:pPr>
              <w:tabs>
                <w:tab w:val="left" w:pos="993"/>
              </w:tabs>
              <w:spacing w:after="120"/>
              <w:contextualSpacing/>
              <w:jc w:val="both"/>
              <w:rPr>
                <w:rFonts w:ascii="Arial" w:hAnsi="Arial" w:cs="Arial"/>
                <w:strike/>
                <w:noProof/>
                <w:color w:val="000000" w:themeColor="text1"/>
                <w:sz w:val="22"/>
                <w:szCs w:val="22"/>
                <w:lang w:val="uk-UA"/>
              </w:rPr>
            </w:pPr>
          </w:p>
        </w:tc>
        <w:tc>
          <w:tcPr>
            <w:tcW w:w="2367" w:type="dxa"/>
          </w:tcPr>
          <w:p w14:paraId="48B9B29A" w14:textId="77777777" w:rsidR="00D01B2E" w:rsidRPr="00A83F6C" w:rsidRDefault="00D01B2E" w:rsidP="00041452">
            <w:pPr>
              <w:rPr>
                <w:rFonts w:ascii="Arial" w:hAnsi="Arial" w:cs="Arial"/>
                <w:noProof/>
                <w:sz w:val="22"/>
                <w:szCs w:val="22"/>
                <w:lang w:val="uk-UA"/>
              </w:rPr>
            </w:pPr>
          </w:p>
        </w:tc>
      </w:tr>
      <w:tr w:rsidR="00D01B2E" w:rsidRPr="00672F9A" w14:paraId="5886CC55" w14:textId="77777777" w:rsidTr="00E504A3">
        <w:trPr>
          <w:trHeight w:val="4852"/>
        </w:trPr>
        <w:tc>
          <w:tcPr>
            <w:tcW w:w="3397" w:type="dxa"/>
          </w:tcPr>
          <w:p w14:paraId="41C54629" w14:textId="746E7C8E" w:rsidR="00D01B2E" w:rsidRPr="00A83F6C" w:rsidRDefault="003F725E" w:rsidP="005379F8">
            <w:pPr>
              <w:tabs>
                <w:tab w:val="left" w:pos="993"/>
              </w:tabs>
              <w:spacing w:after="120"/>
              <w:contextualSpacing/>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lastRenderedPageBreak/>
              <w:t>Громадські слухання розпочинаються з доповіді головуючого, який коротко інформує про суть питань, що мають бути обговорені, про склад учасників та порядок і регламент громадського слухання. Головуючий також повідомляє присутнім інформацію надану суб’єктом господарювання щодо оприлюднення ним оголошення про початок громадського обговорення, а також щодо розміщення звіту з оцінки впливу на довкілля у місцях, доступних для громадськості.</w:t>
            </w:r>
          </w:p>
        </w:tc>
        <w:tc>
          <w:tcPr>
            <w:tcW w:w="3359" w:type="dxa"/>
          </w:tcPr>
          <w:p w14:paraId="48215847" w14:textId="6E592F7B" w:rsidR="00D01B2E" w:rsidRPr="00A83F6C" w:rsidRDefault="00D01B2E" w:rsidP="005379F8">
            <w:pPr>
              <w:tabs>
                <w:tab w:val="left" w:pos="993"/>
              </w:tabs>
              <w:spacing w:after="120"/>
              <w:ind w:left="33"/>
              <w:contextualSpacing/>
              <w:jc w:val="both"/>
              <w:rPr>
                <w:rFonts w:ascii="Arial" w:hAnsi="Arial" w:cs="Arial"/>
                <w:noProof/>
                <w:color w:val="000000" w:themeColor="text1"/>
                <w:sz w:val="22"/>
                <w:szCs w:val="22"/>
                <w:lang w:val="uk-UA"/>
              </w:rPr>
            </w:pPr>
          </w:p>
        </w:tc>
        <w:tc>
          <w:tcPr>
            <w:tcW w:w="2367" w:type="dxa"/>
          </w:tcPr>
          <w:p w14:paraId="42447D46" w14:textId="77777777" w:rsidR="00D01B2E" w:rsidRPr="00A83F6C" w:rsidRDefault="00D01B2E" w:rsidP="00041452">
            <w:pPr>
              <w:rPr>
                <w:rFonts w:ascii="Arial" w:hAnsi="Arial" w:cs="Arial"/>
                <w:noProof/>
                <w:sz w:val="22"/>
                <w:szCs w:val="22"/>
                <w:lang w:val="uk-UA"/>
              </w:rPr>
            </w:pPr>
          </w:p>
        </w:tc>
      </w:tr>
      <w:tr w:rsidR="003F725E" w:rsidRPr="00672F9A" w14:paraId="44C1D4EC" w14:textId="77777777" w:rsidTr="00E504A3">
        <w:tc>
          <w:tcPr>
            <w:tcW w:w="3397" w:type="dxa"/>
          </w:tcPr>
          <w:p w14:paraId="5E799A2B" w14:textId="77777777" w:rsidR="003F725E" w:rsidRPr="00A83F6C" w:rsidRDefault="003F725E" w:rsidP="00A83F6C">
            <w:pPr>
              <w:tabs>
                <w:tab w:val="left" w:pos="993"/>
              </w:tabs>
              <w:spacing w:after="120"/>
              <w:contextualSpacing/>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 xml:space="preserve">Наступним виступає представник суб’єкта господарювання, який є замовником планованої діяльності. У доповіді повинні бути висвітлені такі питання: </w:t>
            </w:r>
          </w:p>
          <w:p w14:paraId="7A1C5F06" w14:textId="77777777" w:rsidR="003F725E" w:rsidRPr="00A83F6C" w:rsidRDefault="003F725E" w:rsidP="00041452">
            <w:pPr>
              <w:tabs>
                <w:tab w:val="left" w:pos="993"/>
              </w:tabs>
              <w:spacing w:after="120"/>
              <w:ind w:firstLine="709"/>
              <w:contextualSpacing/>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короткий опис планованої діяльності;</w:t>
            </w:r>
          </w:p>
          <w:p w14:paraId="2D766F9A" w14:textId="77777777" w:rsidR="003F725E" w:rsidRPr="00A83F6C" w:rsidRDefault="003F725E" w:rsidP="00041452">
            <w:pPr>
              <w:tabs>
                <w:tab w:val="left" w:pos="993"/>
              </w:tabs>
              <w:spacing w:after="120"/>
              <w:ind w:firstLine="709"/>
              <w:contextualSpacing/>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зміст звіту з оцінки впливу на довкілля щодо планованої діяльності;</w:t>
            </w:r>
          </w:p>
          <w:p w14:paraId="33A43BB1" w14:textId="77777777" w:rsidR="003F725E" w:rsidRPr="00A83F6C" w:rsidRDefault="003F725E" w:rsidP="00041452">
            <w:pPr>
              <w:tabs>
                <w:tab w:val="left" w:pos="993"/>
              </w:tabs>
              <w:spacing w:after="120"/>
              <w:ind w:firstLine="709"/>
              <w:contextualSpacing/>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 xml:space="preserve">можливий негативний вплив на стан довкілля; </w:t>
            </w:r>
          </w:p>
          <w:p w14:paraId="3E92B97C" w14:textId="77777777" w:rsidR="003F725E" w:rsidRPr="00A83F6C" w:rsidRDefault="003F725E" w:rsidP="00041452">
            <w:pPr>
              <w:tabs>
                <w:tab w:val="left" w:pos="993"/>
              </w:tabs>
              <w:spacing w:after="120"/>
              <w:ind w:firstLine="709"/>
              <w:contextualSpacing/>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 xml:space="preserve">заходи для запобігання та/або зменшення такого впливу; </w:t>
            </w:r>
          </w:p>
          <w:p w14:paraId="1DE2AF21" w14:textId="77777777" w:rsidR="003F725E" w:rsidRPr="00A83F6C" w:rsidRDefault="003F725E" w:rsidP="00041452">
            <w:pPr>
              <w:tabs>
                <w:tab w:val="left" w:pos="993"/>
              </w:tabs>
              <w:spacing w:after="120"/>
              <w:ind w:firstLine="709"/>
              <w:contextualSpacing/>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lastRenderedPageBreak/>
              <w:t xml:space="preserve">зміст зауважень та пропозицій громадськості, що надійшли до початку громадських слухань; </w:t>
            </w:r>
          </w:p>
          <w:p w14:paraId="1D160FC0" w14:textId="4DAD3884" w:rsidR="003F725E" w:rsidRPr="00A83F6C" w:rsidRDefault="003F725E" w:rsidP="005379F8">
            <w:pPr>
              <w:tabs>
                <w:tab w:val="left" w:pos="993"/>
              </w:tabs>
              <w:spacing w:after="120"/>
              <w:ind w:firstLine="709"/>
              <w:contextualSpacing/>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 xml:space="preserve">інші відомості щодо планованої діяльності. </w:t>
            </w:r>
          </w:p>
        </w:tc>
        <w:tc>
          <w:tcPr>
            <w:tcW w:w="3359" w:type="dxa"/>
          </w:tcPr>
          <w:p w14:paraId="659182F6" w14:textId="4D153955" w:rsidR="003F725E" w:rsidRPr="00C81C4F" w:rsidRDefault="003F725E" w:rsidP="00A83F6C">
            <w:pPr>
              <w:tabs>
                <w:tab w:val="left" w:pos="993"/>
              </w:tabs>
              <w:spacing w:after="120"/>
              <w:contextualSpacing/>
              <w:jc w:val="both"/>
              <w:rPr>
                <w:rFonts w:ascii="Arial" w:hAnsi="Arial" w:cs="Arial"/>
                <w:b/>
                <w:noProof/>
                <w:color w:val="000000" w:themeColor="text1"/>
                <w:sz w:val="22"/>
                <w:szCs w:val="22"/>
                <w:lang w:val="uk-UA"/>
              </w:rPr>
            </w:pPr>
            <w:r w:rsidRPr="00C81C4F">
              <w:rPr>
                <w:rFonts w:ascii="Arial" w:hAnsi="Arial" w:cs="Arial"/>
                <w:b/>
                <w:noProof/>
                <w:color w:val="000000" w:themeColor="text1"/>
                <w:sz w:val="22"/>
                <w:szCs w:val="22"/>
                <w:lang w:val="uk-UA"/>
              </w:rPr>
              <w:lastRenderedPageBreak/>
              <w:t xml:space="preserve">Під час громадських слухань </w:t>
            </w:r>
            <w:r w:rsidR="00B1623A" w:rsidRPr="00C81C4F">
              <w:rPr>
                <w:rFonts w:ascii="Arial" w:hAnsi="Arial" w:cs="Arial"/>
                <w:b/>
                <w:noProof/>
                <w:color w:val="000000" w:themeColor="text1"/>
                <w:sz w:val="22"/>
                <w:szCs w:val="22"/>
                <w:lang w:val="uk-UA"/>
              </w:rPr>
              <w:t>суб’єкт</w:t>
            </w:r>
            <w:r w:rsidRPr="00C81C4F">
              <w:rPr>
                <w:rFonts w:ascii="Arial" w:hAnsi="Arial" w:cs="Arial"/>
                <w:b/>
                <w:noProof/>
                <w:color w:val="000000" w:themeColor="text1"/>
                <w:sz w:val="22"/>
                <w:szCs w:val="22"/>
                <w:lang w:val="uk-UA"/>
              </w:rPr>
              <w:t xml:space="preserve"> господарювання висвітлює такі питання: </w:t>
            </w:r>
          </w:p>
          <w:p w14:paraId="1A5A1673" w14:textId="77777777" w:rsidR="003F725E" w:rsidRPr="00A83F6C" w:rsidRDefault="003F725E" w:rsidP="00041452">
            <w:pPr>
              <w:tabs>
                <w:tab w:val="left" w:pos="993"/>
              </w:tabs>
              <w:spacing w:after="120"/>
              <w:ind w:firstLine="709"/>
              <w:contextualSpacing/>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короткий опис планованої діяльності;</w:t>
            </w:r>
          </w:p>
          <w:p w14:paraId="0D1BEFA7" w14:textId="77777777" w:rsidR="003F725E" w:rsidRPr="00A83F6C" w:rsidRDefault="003F725E" w:rsidP="00041452">
            <w:pPr>
              <w:tabs>
                <w:tab w:val="left" w:pos="993"/>
              </w:tabs>
              <w:spacing w:after="120"/>
              <w:ind w:firstLine="709"/>
              <w:contextualSpacing/>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зміст звіту з оцінки впливу на довкілля щодо планованої діяльності;</w:t>
            </w:r>
          </w:p>
          <w:p w14:paraId="03C5A427" w14:textId="77777777" w:rsidR="003F725E" w:rsidRPr="00A83F6C" w:rsidRDefault="003F725E" w:rsidP="00041452">
            <w:pPr>
              <w:tabs>
                <w:tab w:val="left" w:pos="993"/>
              </w:tabs>
              <w:spacing w:after="120"/>
              <w:ind w:firstLine="709"/>
              <w:contextualSpacing/>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 xml:space="preserve">можливий негативний вплив на стан довкілля; </w:t>
            </w:r>
          </w:p>
          <w:p w14:paraId="50370E69" w14:textId="77777777" w:rsidR="003F725E" w:rsidRPr="00A83F6C" w:rsidRDefault="003F725E" w:rsidP="00041452">
            <w:pPr>
              <w:tabs>
                <w:tab w:val="left" w:pos="993"/>
              </w:tabs>
              <w:spacing w:after="120"/>
              <w:ind w:firstLine="709"/>
              <w:contextualSpacing/>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 xml:space="preserve">заходи для запобігання та/або зменшення такого впливу; </w:t>
            </w:r>
          </w:p>
          <w:p w14:paraId="6B30AC5B" w14:textId="77777777" w:rsidR="003F725E" w:rsidRPr="00A83F6C" w:rsidRDefault="003F725E" w:rsidP="00041452">
            <w:pPr>
              <w:tabs>
                <w:tab w:val="left" w:pos="993"/>
              </w:tabs>
              <w:spacing w:after="120"/>
              <w:ind w:firstLine="709"/>
              <w:contextualSpacing/>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 xml:space="preserve">зміст зауважень та пропозицій громадськості, що </w:t>
            </w:r>
            <w:r w:rsidRPr="00A83F6C">
              <w:rPr>
                <w:rFonts w:ascii="Arial" w:hAnsi="Arial" w:cs="Arial"/>
                <w:noProof/>
                <w:color w:val="000000" w:themeColor="text1"/>
                <w:sz w:val="22"/>
                <w:szCs w:val="22"/>
                <w:lang w:val="uk-UA"/>
              </w:rPr>
              <w:lastRenderedPageBreak/>
              <w:t xml:space="preserve">надійшли до початку громадських слухань; </w:t>
            </w:r>
          </w:p>
          <w:p w14:paraId="45511392" w14:textId="77777777" w:rsidR="003F725E" w:rsidRPr="00A83F6C" w:rsidRDefault="003F725E" w:rsidP="00041452">
            <w:pPr>
              <w:tabs>
                <w:tab w:val="left" w:pos="993"/>
              </w:tabs>
              <w:spacing w:after="120"/>
              <w:ind w:firstLine="709"/>
              <w:contextualSpacing/>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 xml:space="preserve">інші відомості щодо планованої діяльності. </w:t>
            </w:r>
          </w:p>
          <w:p w14:paraId="7267033A" w14:textId="77777777" w:rsidR="003F725E" w:rsidRPr="00A83F6C" w:rsidRDefault="003F725E" w:rsidP="00041452">
            <w:pPr>
              <w:tabs>
                <w:tab w:val="left" w:pos="993"/>
                <w:tab w:val="left" w:pos="1418"/>
              </w:tabs>
              <w:spacing w:after="120"/>
              <w:jc w:val="both"/>
              <w:rPr>
                <w:rFonts w:ascii="Arial" w:hAnsi="Arial" w:cs="Arial"/>
                <w:noProof/>
                <w:color w:val="000000" w:themeColor="text1"/>
                <w:sz w:val="22"/>
                <w:szCs w:val="22"/>
                <w:lang w:val="uk-UA"/>
              </w:rPr>
            </w:pPr>
          </w:p>
        </w:tc>
        <w:tc>
          <w:tcPr>
            <w:tcW w:w="2367" w:type="dxa"/>
          </w:tcPr>
          <w:p w14:paraId="74F3B709" w14:textId="77777777" w:rsidR="003F725E" w:rsidRPr="00A83F6C" w:rsidRDefault="003F725E" w:rsidP="00041452">
            <w:pPr>
              <w:rPr>
                <w:rFonts w:ascii="Arial" w:hAnsi="Arial" w:cs="Arial"/>
                <w:noProof/>
                <w:sz w:val="22"/>
                <w:szCs w:val="22"/>
                <w:lang w:val="uk-UA"/>
              </w:rPr>
            </w:pPr>
          </w:p>
        </w:tc>
      </w:tr>
      <w:tr w:rsidR="003F725E" w:rsidRPr="00672F9A" w14:paraId="295AC007" w14:textId="77777777" w:rsidTr="00E504A3">
        <w:tc>
          <w:tcPr>
            <w:tcW w:w="3397" w:type="dxa"/>
          </w:tcPr>
          <w:p w14:paraId="0DC0D0E7" w14:textId="095DED35" w:rsidR="003F725E" w:rsidRPr="00A83F6C" w:rsidRDefault="003F725E" w:rsidP="005379F8">
            <w:pPr>
              <w:tabs>
                <w:tab w:val="left" w:pos="993"/>
              </w:tabs>
              <w:spacing w:after="120"/>
              <w:ind w:firstLine="34"/>
              <w:contextualSpacing/>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lastRenderedPageBreak/>
              <w:t>У разі необхідності після суб’єкта господарювання, за його пропозицією, слово надається іншим співдоповідачам чи спеціалістам.</w:t>
            </w:r>
          </w:p>
        </w:tc>
        <w:tc>
          <w:tcPr>
            <w:tcW w:w="3359" w:type="dxa"/>
          </w:tcPr>
          <w:p w14:paraId="391AEDD5" w14:textId="6E7F69D5" w:rsidR="003F725E" w:rsidRPr="00A83F6C" w:rsidRDefault="003F725E" w:rsidP="005379F8">
            <w:pPr>
              <w:tabs>
                <w:tab w:val="left" w:pos="993"/>
              </w:tabs>
              <w:spacing w:after="120"/>
              <w:ind w:left="33"/>
              <w:contextualSpacing/>
              <w:jc w:val="both"/>
              <w:rPr>
                <w:rFonts w:ascii="Arial" w:hAnsi="Arial" w:cs="Arial"/>
                <w:noProof/>
                <w:color w:val="000000" w:themeColor="text1"/>
                <w:sz w:val="22"/>
                <w:szCs w:val="22"/>
                <w:lang w:val="uk-UA"/>
              </w:rPr>
            </w:pPr>
          </w:p>
        </w:tc>
        <w:tc>
          <w:tcPr>
            <w:tcW w:w="2367" w:type="dxa"/>
          </w:tcPr>
          <w:p w14:paraId="5922DBE5" w14:textId="77777777" w:rsidR="003F725E" w:rsidRPr="00A83F6C" w:rsidRDefault="003F725E" w:rsidP="00041452">
            <w:pPr>
              <w:rPr>
                <w:rFonts w:ascii="Arial" w:hAnsi="Arial" w:cs="Arial"/>
                <w:noProof/>
                <w:sz w:val="22"/>
                <w:szCs w:val="22"/>
                <w:lang w:val="uk-UA"/>
              </w:rPr>
            </w:pPr>
          </w:p>
        </w:tc>
      </w:tr>
      <w:tr w:rsidR="003F725E" w:rsidRPr="00672F9A" w14:paraId="7EB5B1A6" w14:textId="77777777" w:rsidTr="00E504A3">
        <w:tc>
          <w:tcPr>
            <w:tcW w:w="3397" w:type="dxa"/>
          </w:tcPr>
          <w:p w14:paraId="7B82B4BF" w14:textId="62E3744E" w:rsidR="003F725E" w:rsidRPr="00A83F6C" w:rsidRDefault="003F725E" w:rsidP="005379F8">
            <w:pPr>
              <w:tabs>
                <w:tab w:val="left" w:pos="993"/>
              </w:tabs>
              <w:spacing w:after="120"/>
              <w:contextualSpacing/>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 xml:space="preserve">Після доповідей головуючий надає учасникам можливість поставити доповідачам запитання. Головуючий та суб’єкт господарювання зобов'язані забезпечити надання відповідей на запитання громадськості в усній формі під час громадських слухань із занесенням їх до протоколу або в письмовій формі після їх закінчення. Суб’єкт господарювання зобов’язаний надати письмові відповіді на усі запитання громадськості, на які він не зміг надати відповідь під час громадських слухань, протягом трьох робочих днів з дня проведення слухань. Копія відповіді також надсилається організатору громадських слухань для </w:t>
            </w:r>
            <w:r w:rsidRPr="00A83F6C">
              <w:rPr>
                <w:rFonts w:ascii="Arial" w:hAnsi="Arial" w:cs="Arial"/>
                <w:noProof/>
                <w:color w:val="000000" w:themeColor="text1"/>
                <w:sz w:val="22"/>
                <w:szCs w:val="22"/>
                <w:lang w:val="uk-UA"/>
              </w:rPr>
              <w:lastRenderedPageBreak/>
              <w:t>долучення до п</w:t>
            </w:r>
            <w:r w:rsidR="005379F8">
              <w:rPr>
                <w:rFonts w:ascii="Arial" w:hAnsi="Arial" w:cs="Arial"/>
                <w:noProof/>
                <w:color w:val="000000" w:themeColor="text1"/>
                <w:sz w:val="22"/>
                <w:szCs w:val="22"/>
                <w:lang w:val="uk-UA"/>
              </w:rPr>
              <w:t>ротоколу громадського слухання.</w:t>
            </w:r>
          </w:p>
        </w:tc>
        <w:tc>
          <w:tcPr>
            <w:tcW w:w="3359" w:type="dxa"/>
          </w:tcPr>
          <w:p w14:paraId="605CF6ED" w14:textId="3EC0AADF" w:rsidR="003F725E" w:rsidRPr="00A83F6C" w:rsidRDefault="003F725E" w:rsidP="00C81C4F">
            <w:pPr>
              <w:tabs>
                <w:tab w:val="left" w:pos="993"/>
              </w:tabs>
              <w:spacing w:after="120"/>
              <w:ind w:left="33"/>
              <w:contextualSpacing/>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lastRenderedPageBreak/>
              <w:t xml:space="preserve">Після доповідей головуючий надає учасникам можливість поставити доповідачам запитання. Головуючий та суб’єкт господарювання зобов'язані забезпечити надання відповідей на запитання громадськості в усній формі під час громадських слухань із занесенням їх до протоколу або в письмовій формі після їх закінчення. </w:t>
            </w:r>
            <w:r w:rsidRPr="00C81C4F">
              <w:rPr>
                <w:rFonts w:ascii="Arial" w:hAnsi="Arial" w:cs="Arial"/>
                <w:b/>
                <w:noProof/>
                <w:color w:val="000000" w:themeColor="text1"/>
                <w:sz w:val="22"/>
                <w:szCs w:val="22"/>
                <w:lang w:val="uk-UA"/>
              </w:rPr>
              <w:t>Якщо суб’єкт господарювання  не зміг надати відповідь під час громадських слухань, то він зобов’язаний надати письмові відповіді на усі запитання громадськості, які обов</w:t>
            </w:r>
            <w:r w:rsidR="00FE3766" w:rsidRPr="00C81C4F">
              <w:rPr>
                <w:rFonts w:ascii="Arial" w:hAnsi="Arial" w:cs="Arial"/>
                <w:b/>
                <w:noProof/>
                <w:color w:val="000000" w:themeColor="text1"/>
                <w:sz w:val="22"/>
                <w:szCs w:val="22"/>
                <w:lang w:val="uk-UA"/>
              </w:rPr>
              <w:t>’</w:t>
            </w:r>
            <w:r w:rsidRPr="00C81C4F">
              <w:rPr>
                <w:rFonts w:ascii="Arial" w:hAnsi="Arial" w:cs="Arial"/>
                <w:b/>
                <w:noProof/>
                <w:color w:val="000000" w:themeColor="text1"/>
                <w:sz w:val="22"/>
                <w:szCs w:val="22"/>
                <w:lang w:val="uk-UA"/>
              </w:rPr>
              <w:t>язково зан</w:t>
            </w:r>
            <w:r w:rsidR="00B1623A" w:rsidRPr="00C81C4F">
              <w:rPr>
                <w:rFonts w:ascii="Arial" w:hAnsi="Arial" w:cs="Arial"/>
                <w:b/>
                <w:noProof/>
                <w:color w:val="000000" w:themeColor="text1"/>
                <w:sz w:val="22"/>
                <w:szCs w:val="22"/>
                <w:lang w:val="uk-UA"/>
              </w:rPr>
              <w:t>о</w:t>
            </w:r>
            <w:r w:rsidRPr="00C81C4F">
              <w:rPr>
                <w:rFonts w:ascii="Arial" w:hAnsi="Arial" w:cs="Arial"/>
                <w:b/>
                <w:noProof/>
                <w:color w:val="000000" w:themeColor="text1"/>
                <w:sz w:val="22"/>
                <w:szCs w:val="22"/>
                <w:lang w:val="uk-UA"/>
              </w:rPr>
              <w:t>с</w:t>
            </w:r>
            <w:r w:rsidR="00B1623A" w:rsidRPr="00C81C4F">
              <w:rPr>
                <w:rFonts w:ascii="Arial" w:hAnsi="Arial" w:cs="Arial"/>
                <w:b/>
                <w:noProof/>
                <w:color w:val="000000" w:themeColor="text1"/>
                <w:sz w:val="22"/>
                <w:szCs w:val="22"/>
                <w:lang w:val="uk-UA"/>
              </w:rPr>
              <w:t xml:space="preserve">яться </w:t>
            </w:r>
            <w:r w:rsidRPr="00C81C4F">
              <w:rPr>
                <w:rFonts w:ascii="Arial" w:hAnsi="Arial" w:cs="Arial"/>
                <w:b/>
                <w:noProof/>
                <w:color w:val="000000" w:themeColor="text1"/>
                <w:sz w:val="22"/>
                <w:szCs w:val="22"/>
                <w:lang w:val="uk-UA"/>
              </w:rPr>
              <w:t xml:space="preserve">у протокол, протягом трьох робочих днів з дня проведення слухань. </w:t>
            </w:r>
            <w:r w:rsidR="00C81C4F" w:rsidRPr="00A83F6C">
              <w:rPr>
                <w:rFonts w:ascii="Arial" w:hAnsi="Arial" w:cs="Arial"/>
                <w:noProof/>
                <w:color w:val="000000" w:themeColor="text1"/>
                <w:sz w:val="22"/>
                <w:szCs w:val="22"/>
                <w:lang w:val="uk-UA"/>
              </w:rPr>
              <w:t xml:space="preserve">Копія </w:t>
            </w:r>
            <w:r w:rsidR="00C81C4F" w:rsidRPr="00A83F6C">
              <w:rPr>
                <w:rFonts w:ascii="Arial" w:hAnsi="Arial" w:cs="Arial"/>
                <w:noProof/>
                <w:color w:val="000000" w:themeColor="text1"/>
                <w:sz w:val="22"/>
                <w:szCs w:val="22"/>
                <w:lang w:val="uk-UA"/>
              </w:rPr>
              <w:lastRenderedPageBreak/>
              <w:t>відповіді також надсилається організатору громадських слухань для долучення до п</w:t>
            </w:r>
            <w:r w:rsidR="00C81C4F">
              <w:rPr>
                <w:rFonts w:ascii="Arial" w:hAnsi="Arial" w:cs="Arial"/>
                <w:noProof/>
                <w:color w:val="000000" w:themeColor="text1"/>
                <w:sz w:val="22"/>
                <w:szCs w:val="22"/>
                <w:lang w:val="uk-UA"/>
              </w:rPr>
              <w:t>ротоколу громадського слухання.</w:t>
            </w:r>
          </w:p>
        </w:tc>
        <w:tc>
          <w:tcPr>
            <w:tcW w:w="2367" w:type="dxa"/>
          </w:tcPr>
          <w:p w14:paraId="6979BF88" w14:textId="77777777" w:rsidR="003F725E" w:rsidRPr="00A83F6C" w:rsidRDefault="003F725E" w:rsidP="00041452">
            <w:pPr>
              <w:rPr>
                <w:rFonts w:ascii="Arial" w:hAnsi="Arial" w:cs="Arial"/>
                <w:noProof/>
                <w:sz w:val="22"/>
                <w:szCs w:val="22"/>
                <w:lang w:val="uk-UA"/>
              </w:rPr>
            </w:pPr>
          </w:p>
        </w:tc>
      </w:tr>
      <w:tr w:rsidR="003F725E" w:rsidRPr="00672F9A" w14:paraId="28B43975" w14:textId="77777777" w:rsidTr="00E504A3">
        <w:tc>
          <w:tcPr>
            <w:tcW w:w="3397" w:type="dxa"/>
          </w:tcPr>
          <w:p w14:paraId="17A62798" w14:textId="391A9353" w:rsidR="003F725E" w:rsidRPr="00A83F6C" w:rsidRDefault="003F725E" w:rsidP="005379F8">
            <w:pPr>
              <w:tabs>
                <w:tab w:val="left" w:pos="993"/>
              </w:tabs>
              <w:spacing w:after="120"/>
              <w:ind w:left="34"/>
              <w:contextualSpacing/>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lastRenderedPageBreak/>
              <w:t xml:space="preserve">Усім учасникам слухань забезпечуються рівні умови для висловлення своєї думки, подання пропозицій та зауважень. </w:t>
            </w:r>
          </w:p>
        </w:tc>
        <w:tc>
          <w:tcPr>
            <w:tcW w:w="3359" w:type="dxa"/>
          </w:tcPr>
          <w:p w14:paraId="5C49BA60" w14:textId="00680222" w:rsidR="003F725E" w:rsidRPr="00A83F6C" w:rsidRDefault="003F725E" w:rsidP="005379F8">
            <w:pPr>
              <w:tabs>
                <w:tab w:val="left" w:pos="993"/>
              </w:tabs>
              <w:spacing w:after="120"/>
              <w:ind w:left="33"/>
              <w:contextualSpacing/>
              <w:jc w:val="both"/>
              <w:rPr>
                <w:rFonts w:ascii="Arial" w:hAnsi="Arial" w:cs="Arial"/>
                <w:noProof/>
                <w:color w:val="000000" w:themeColor="text1"/>
                <w:sz w:val="22"/>
                <w:szCs w:val="22"/>
                <w:lang w:val="uk-UA"/>
              </w:rPr>
            </w:pPr>
          </w:p>
        </w:tc>
        <w:tc>
          <w:tcPr>
            <w:tcW w:w="2367" w:type="dxa"/>
          </w:tcPr>
          <w:p w14:paraId="137FCBA5" w14:textId="77777777" w:rsidR="003F725E" w:rsidRPr="00A83F6C" w:rsidRDefault="003F725E" w:rsidP="00041452">
            <w:pPr>
              <w:rPr>
                <w:rFonts w:ascii="Arial" w:hAnsi="Arial" w:cs="Arial"/>
                <w:noProof/>
                <w:sz w:val="22"/>
                <w:szCs w:val="22"/>
                <w:lang w:val="uk-UA"/>
              </w:rPr>
            </w:pPr>
          </w:p>
        </w:tc>
      </w:tr>
      <w:tr w:rsidR="003F725E" w:rsidRPr="00672F9A" w14:paraId="1574A90C" w14:textId="77777777" w:rsidTr="00E504A3">
        <w:tc>
          <w:tcPr>
            <w:tcW w:w="3397" w:type="dxa"/>
          </w:tcPr>
          <w:p w14:paraId="4B090DC0" w14:textId="77777777" w:rsidR="003F725E" w:rsidRPr="00A83F6C" w:rsidRDefault="003F725E" w:rsidP="00041452">
            <w:pPr>
              <w:tabs>
                <w:tab w:val="left" w:pos="993"/>
              </w:tabs>
              <w:spacing w:after="120"/>
              <w:ind w:left="34"/>
              <w:contextualSpacing/>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 xml:space="preserve">З метою забезпечення належного проведення громадських слухань учасники реєструються у журналі (відомості) виступів учасників громадських слухань, а порядок виступів визначається згідно записів у вказаному журналі (відомості). Регламент громадських слухань розраховується також з урахуванням можливості для виступів незареєстрованих у журналі (відомості) учасників. </w:t>
            </w:r>
          </w:p>
          <w:p w14:paraId="43319C5F" w14:textId="77777777" w:rsidR="003F725E" w:rsidRPr="00A83F6C" w:rsidRDefault="003F725E" w:rsidP="00041452">
            <w:pPr>
              <w:tabs>
                <w:tab w:val="left" w:pos="993"/>
              </w:tabs>
              <w:spacing w:after="120"/>
              <w:contextualSpacing/>
              <w:jc w:val="both"/>
              <w:rPr>
                <w:rFonts w:ascii="Arial" w:hAnsi="Arial" w:cs="Arial"/>
                <w:noProof/>
                <w:color w:val="000000" w:themeColor="text1"/>
                <w:sz w:val="22"/>
                <w:szCs w:val="22"/>
                <w:lang w:val="uk-UA"/>
              </w:rPr>
            </w:pPr>
          </w:p>
        </w:tc>
        <w:tc>
          <w:tcPr>
            <w:tcW w:w="3359" w:type="dxa"/>
          </w:tcPr>
          <w:p w14:paraId="6148B23D" w14:textId="31269304" w:rsidR="003F725E" w:rsidRPr="00A83F6C" w:rsidRDefault="003F725E" w:rsidP="005379F8">
            <w:pPr>
              <w:tabs>
                <w:tab w:val="left" w:pos="993"/>
              </w:tabs>
              <w:spacing w:after="120"/>
              <w:ind w:left="33"/>
              <w:contextualSpacing/>
              <w:jc w:val="both"/>
              <w:rPr>
                <w:rFonts w:ascii="Arial" w:hAnsi="Arial" w:cs="Arial"/>
                <w:noProof/>
                <w:color w:val="000000" w:themeColor="text1"/>
                <w:sz w:val="22"/>
                <w:szCs w:val="22"/>
                <w:lang w:val="uk-UA"/>
              </w:rPr>
            </w:pPr>
          </w:p>
        </w:tc>
        <w:tc>
          <w:tcPr>
            <w:tcW w:w="2367" w:type="dxa"/>
          </w:tcPr>
          <w:p w14:paraId="3CEAC42C" w14:textId="15415C1F" w:rsidR="00B1623A" w:rsidRPr="00A83F6C" w:rsidRDefault="004A2BFF" w:rsidP="00041452">
            <w:pPr>
              <w:rPr>
                <w:rFonts w:ascii="Arial" w:hAnsi="Arial" w:cs="Arial"/>
                <w:noProof/>
                <w:sz w:val="22"/>
                <w:szCs w:val="22"/>
                <w:lang w:val="uk-UA"/>
              </w:rPr>
            </w:pPr>
            <w:r w:rsidRPr="00A83F6C">
              <w:rPr>
                <w:rFonts w:ascii="Arial" w:hAnsi="Arial" w:cs="Arial"/>
                <w:noProof/>
                <w:sz w:val="22"/>
                <w:szCs w:val="22"/>
                <w:lang w:val="uk-UA"/>
              </w:rPr>
              <w:t xml:space="preserve"> </w:t>
            </w:r>
          </w:p>
        </w:tc>
      </w:tr>
      <w:tr w:rsidR="003F725E" w:rsidRPr="00672F9A" w14:paraId="1D290DF4" w14:textId="77777777" w:rsidTr="00E504A3">
        <w:tc>
          <w:tcPr>
            <w:tcW w:w="3397" w:type="dxa"/>
          </w:tcPr>
          <w:p w14:paraId="0048E534" w14:textId="672FB3FD" w:rsidR="003F725E" w:rsidRPr="00A83F6C" w:rsidRDefault="003F725E" w:rsidP="00041452">
            <w:pPr>
              <w:tabs>
                <w:tab w:val="left" w:pos="993"/>
              </w:tabs>
              <w:spacing w:after="120"/>
              <w:contextualSpacing/>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 xml:space="preserve">Усі усні пропозиції та зауваження, подані під час громадських слухань, фіксуються у протоколі громадських слухань. Письмові пропозиції та зауваження, що подаються в ході громадських слухань, реєструються у журналі (відомості) реєстрації </w:t>
            </w:r>
            <w:r w:rsidRPr="00A83F6C">
              <w:rPr>
                <w:rFonts w:ascii="Arial" w:hAnsi="Arial" w:cs="Arial"/>
                <w:noProof/>
                <w:color w:val="000000" w:themeColor="text1"/>
                <w:sz w:val="22"/>
                <w:szCs w:val="22"/>
                <w:lang w:val="uk-UA"/>
              </w:rPr>
              <w:lastRenderedPageBreak/>
              <w:t>письмових зауважень та пропозицій, що надійшли протягом громадських слухань за формою згідно Додатку 4 до цього Порядку і додаються до протоколу громадських слухань.</w:t>
            </w:r>
          </w:p>
        </w:tc>
        <w:tc>
          <w:tcPr>
            <w:tcW w:w="3359" w:type="dxa"/>
          </w:tcPr>
          <w:p w14:paraId="078DB909" w14:textId="47216515" w:rsidR="003F725E" w:rsidRPr="00A83F6C" w:rsidRDefault="003F725E" w:rsidP="00041452">
            <w:pPr>
              <w:tabs>
                <w:tab w:val="left" w:pos="993"/>
              </w:tabs>
              <w:spacing w:after="120"/>
              <w:contextualSpacing/>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lastRenderedPageBreak/>
              <w:t xml:space="preserve">Усі усні пропозиції та зауваження, подані під час громадських слухань, фіксуються у протоколі громадських слухань. Письмові пропозиції та зауваження, що подаються в ході громадських слухань, реєструються у журналі (відомості) реєстрації </w:t>
            </w:r>
            <w:r w:rsidRPr="00A83F6C">
              <w:rPr>
                <w:rFonts w:ascii="Arial" w:hAnsi="Arial" w:cs="Arial"/>
                <w:noProof/>
                <w:color w:val="000000" w:themeColor="text1"/>
                <w:sz w:val="22"/>
                <w:szCs w:val="22"/>
                <w:lang w:val="uk-UA"/>
              </w:rPr>
              <w:lastRenderedPageBreak/>
              <w:t xml:space="preserve">письмових зауважень та пропозицій, що надійшли протягом громадських слухань за формою згідно Додатку 4 до цього Порядку і додаються до протоколу громадських слухань. </w:t>
            </w:r>
            <w:r w:rsidRPr="00C81C4F">
              <w:rPr>
                <w:rFonts w:ascii="Arial" w:hAnsi="Arial" w:cs="Arial"/>
                <w:b/>
                <w:noProof/>
                <w:color w:val="000000" w:themeColor="text1"/>
                <w:sz w:val="22"/>
                <w:szCs w:val="22"/>
                <w:lang w:val="uk-UA"/>
              </w:rPr>
              <w:t>Приміщення повинно бути забезпечене мікрофонами та звуковою апаратурою, чисте</w:t>
            </w:r>
            <w:r w:rsidR="00BF07C6" w:rsidRPr="00C81C4F">
              <w:rPr>
                <w:rFonts w:ascii="Arial" w:hAnsi="Arial" w:cs="Arial"/>
                <w:b/>
                <w:noProof/>
                <w:color w:val="000000" w:themeColor="text1"/>
                <w:sz w:val="22"/>
                <w:szCs w:val="22"/>
                <w:lang w:val="uk-UA"/>
              </w:rPr>
              <w:t xml:space="preserve"> та комфортне для проведення із </w:t>
            </w:r>
            <w:r w:rsidRPr="00C81C4F">
              <w:rPr>
                <w:rFonts w:ascii="Arial" w:hAnsi="Arial" w:cs="Arial"/>
                <w:b/>
                <w:noProof/>
                <w:color w:val="000000" w:themeColor="text1"/>
                <w:sz w:val="22"/>
                <w:szCs w:val="22"/>
                <w:lang w:val="uk-UA"/>
              </w:rPr>
              <w:t>забезпеченням доступу до вбиральні.</w:t>
            </w:r>
          </w:p>
        </w:tc>
        <w:tc>
          <w:tcPr>
            <w:tcW w:w="2367" w:type="dxa"/>
          </w:tcPr>
          <w:p w14:paraId="63004A23" w14:textId="77777777" w:rsidR="003F725E" w:rsidRPr="00A83F6C" w:rsidRDefault="003F725E" w:rsidP="00041452">
            <w:pPr>
              <w:rPr>
                <w:rFonts w:ascii="Arial" w:hAnsi="Arial" w:cs="Arial"/>
                <w:noProof/>
                <w:sz w:val="22"/>
                <w:szCs w:val="22"/>
                <w:lang w:val="uk-UA"/>
              </w:rPr>
            </w:pPr>
          </w:p>
        </w:tc>
      </w:tr>
      <w:tr w:rsidR="003F725E" w:rsidRPr="00672F9A" w14:paraId="6F4268B4" w14:textId="77777777" w:rsidTr="00E504A3">
        <w:trPr>
          <w:trHeight w:val="5008"/>
        </w:trPr>
        <w:tc>
          <w:tcPr>
            <w:tcW w:w="3397" w:type="dxa"/>
          </w:tcPr>
          <w:p w14:paraId="2EABFEFB" w14:textId="77777777" w:rsidR="00041452" w:rsidRPr="00A83F6C" w:rsidRDefault="00BF07C6" w:rsidP="00041452">
            <w:pPr>
              <w:tabs>
                <w:tab w:val="left" w:pos="993"/>
              </w:tabs>
              <w:spacing w:after="120"/>
              <w:contextualSpacing/>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lastRenderedPageBreak/>
              <w:t xml:space="preserve">У разі необхідності уповноважений центральний орган або уповноважений територіальний орган, або організатор громадських слухань може запросити для участі у слуханнях представників правоохоронних органів. </w:t>
            </w:r>
          </w:p>
          <w:p w14:paraId="1A920CE2" w14:textId="77777777" w:rsidR="00041452" w:rsidRPr="00A83F6C" w:rsidRDefault="00041452" w:rsidP="00041452">
            <w:pPr>
              <w:tabs>
                <w:tab w:val="left" w:pos="993"/>
              </w:tabs>
              <w:spacing w:after="120"/>
              <w:contextualSpacing/>
              <w:jc w:val="both"/>
              <w:rPr>
                <w:rFonts w:ascii="Arial" w:hAnsi="Arial" w:cs="Arial"/>
                <w:noProof/>
                <w:color w:val="000000" w:themeColor="text1"/>
                <w:sz w:val="22"/>
                <w:szCs w:val="22"/>
                <w:lang w:val="uk-UA"/>
              </w:rPr>
            </w:pPr>
          </w:p>
          <w:p w14:paraId="7CB9C347" w14:textId="1761B60F" w:rsidR="00BF07C6" w:rsidRPr="00A83F6C" w:rsidRDefault="00BF07C6" w:rsidP="00041452">
            <w:pPr>
              <w:tabs>
                <w:tab w:val="left" w:pos="993"/>
              </w:tabs>
              <w:spacing w:after="120"/>
              <w:contextualSpacing/>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У разі відсутності пропозицій та зауважень громадськості або у разі неявки представників громадськості на громадські слухання складається відповідний акт, що підписується головуючим та є невід’ємною частиною протоколу.</w:t>
            </w:r>
          </w:p>
          <w:p w14:paraId="1C2BC1D4" w14:textId="77777777" w:rsidR="003F725E" w:rsidRPr="00A83F6C" w:rsidRDefault="003F725E" w:rsidP="00041452">
            <w:pPr>
              <w:tabs>
                <w:tab w:val="left" w:pos="993"/>
              </w:tabs>
              <w:spacing w:after="120"/>
              <w:contextualSpacing/>
              <w:jc w:val="both"/>
              <w:rPr>
                <w:rFonts w:ascii="Arial" w:hAnsi="Arial" w:cs="Arial"/>
                <w:noProof/>
                <w:color w:val="000000" w:themeColor="text1"/>
                <w:sz w:val="22"/>
                <w:szCs w:val="22"/>
                <w:lang w:val="uk-UA"/>
              </w:rPr>
            </w:pPr>
          </w:p>
        </w:tc>
        <w:tc>
          <w:tcPr>
            <w:tcW w:w="3359" w:type="dxa"/>
          </w:tcPr>
          <w:p w14:paraId="29EF2ADF" w14:textId="46C0DD06" w:rsidR="00BF07C6" w:rsidRPr="00A83F6C" w:rsidRDefault="00BF07C6" w:rsidP="00041452">
            <w:pPr>
              <w:tabs>
                <w:tab w:val="left" w:pos="993"/>
              </w:tabs>
              <w:spacing w:after="120"/>
              <w:contextualSpacing/>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У разі необхідності уповноважений центральний орган або уповноважений територіальний орган, або організатор громадських слухань може запросити для участі у слуханнях представників правоохоронних органів або охоронну фірму.</w:t>
            </w:r>
          </w:p>
          <w:p w14:paraId="700D3C5C" w14:textId="77777777" w:rsidR="00BF07C6" w:rsidRPr="00A83F6C" w:rsidRDefault="00BF07C6" w:rsidP="00041452">
            <w:pPr>
              <w:tabs>
                <w:tab w:val="left" w:pos="993"/>
              </w:tabs>
              <w:spacing w:after="120"/>
              <w:contextualSpacing/>
              <w:jc w:val="both"/>
              <w:rPr>
                <w:rFonts w:ascii="Arial" w:hAnsi="Arial" w:cs="Arial"/>
                <w:noProof/>
                <w:color w:val="000000" w:themeColor="text1"/>
                <w:sz w:val="22"/>
                <w:szCs w:val="22"/>
                <w:lang w:val="uk-UA"/>
              </w:rPr>
            </w:pPr>
          </w:p>
          <w:p w14:paraId="46D19ADE" w14:textId="68D68398" w:rsidR="00BF07C6" w:rsidRPr="00C81C4F" w:rsidRDefault="00BF07C6" w:rsidP="00041452">
            <w:pPr>
              <w:tabs>
                <w:tab w:val="left" w:pos="993"/>
              </w:tabs>
              <w:spacing w:after="120"/>
              <w:contextualSpacing/>
              <w:jc w:val="both"/>
              <w:rPr>
                <w:rFonts w:ascii="Arial" w:hAnsi="Arial" w:cs="Arial"/>
                <w:b/>
                <w:noProof/>
                <w:color w:val="000000" w:themeColor="text1"/>
                <w:sz w:val="22"/>
                <w:szCs w:val="22"/>
                <w:lang w:val="uk-UA"/>
              </w:rPr>
            </w:pPr>
            <w:r w:rsidRPr="00C81C4F">
              <w:rPr>
                <w:rFonts w:ascii="Arial" w:hAnsi="Arial" w:cs="Arial"/>
                <w:b/>
                <w:noProof/>
                <w:color w:val="000000" w:themeColor="text1"/>
                <w:sz w:val="22"/>
                <w:szCs w:val="22"/>
                <w:lang w:val="uk-UA"/>
              </w:rPr>
              <w:t>У разі неявки представників громадськості на громадські слухання складається відповідний акт, що підписується головуючим та</w:t>
            </w:r>
            <w:r w:rsidR="000042DC" w:rsidRPr="00C81C4F">
              <w:rPr>
                <w:rFonts w:ascii="Arial" w:hAnsi="Arial" w:cs="Arial"/>
                <w:b/>
                <w:noProof/>
                <w:color w:val="000000" w:themeColor="text1"/>
                <w:sz w:val="22"/>
                <w:szCs w:val="22"/>
                <w:lang w:val="uk-UA"/>
              </w:rPr>
              <w:t xml:space="preserve"> </w:t>
            </w:r>
            <w:r w:rsidR="004A2BFF" w:rsidRPr="00C81C4F">
              <w:rPr>
                <w:rFonts w:ascii="Arial" w:hAnsi="Arial" w:cs="Arial"/>
                <w:b/>
                <w:noProof/>
                <w:color w:val="000000" w:themeColor="text1"/>
                <w:sz w:val="22"/>
                <w:szCs w:val="22"/>
                <w:lang w:val="uk-UA"/>
              </w:rPr>
              <w:t>скріплюється печаткою органі</w:t>
            </w:r>
            <w:r w:rsidR="00C81C4F">
              <w:rPr>
                <w:rFonts w:ascii="Arial" w:hAnsi="Arial" w:cs="Arial"/>
                <w:b/>
                <w:noProof/>
                <w:color w:val="000000" w:themeColor="text1"/>
                <w:sz w:val="22"/>
                <w:szCs w:val="22"/>
                <w:lang w:val="uk-UA"/>
              </w:rPr>
              <w:t>затора громадського обговорення.</w:t>
            </w:r>
          </w:p>
          <w:p w14:paraId="55B7AA53" w14:textId="77777777" w:rsidR="003F725E" w:rsidRPr="00A83F6C" w:rsidRDefault="003F725E" w:rsidP="00041452">
            <w:pPr>
              <w:tabs>
                <w:tab w:val="left" w:pos="993"/>
              </w:tabs>
              <w:spacing w:after="120"/>
              <w:ind w:left="568"/>
              <w:contextualSpacing/>
              <w:jc w:val="both"/>
              <w:rPr>
                <w:rFonts w:ascii="Arial" w:hAnsi="Arial" w:cs="Arial"/>
                <w:noProof/>
                <w:color w:val="000000" w:themeColor="text1"/>
                <w:sz w:val="22"/>
                <w:szCs w:val="22"/>
                <w:lang w:val="uk-UA"/>
              </w:rPr>
            </w:pPr>
          </w:p>
        </w:tc>
        <w:tc>
          <w:tcPr>
            <w:tcW w:w="2367" w:type="dxa"/>
          </w:tcPr>
          <w:p w14:paraId="020E0780" w14:textId="77777777" w:rsidR="003F725E" w:rsidRPr="00A83F6C" w:rsidRDefault="003F725E" w:rsidP="00041452">
            <w:pPr>
              <w:rPr>
                <w:rFonts w:ascii="Arial" w:hAnsi="Arial" w:cs="Arial"/>
                <w:noProof/>
                <w:sz w:val="22"/>
                <w:szCs w:val="22"/>
                <w:lang w:val="uk-UA"/>
              </w:rPr>
            </w:pPr>
          </w:p>
        </w:tc>
      </w:tr>
      <w:tr w:rsidR="00BF07C6" w:rsidRPr="00672F9A" w14:paraId="70136C18" w14:textId="77777777" w:rsidTr="00E504A3">
        <w:tc>
          <w:tcPr>
            <w:tcW w:w="3397" w:type="dxa"/>
          </w:tcPr>
          <w:p w14:paraId="7C9C1CF2" w14:textId="77777777" w:rsidR="00BF07C6" w:rsidRPr="00A83F6C" w:rsidRDefault="00BF07C6" w:rsidP="00041452">
            <w:pPr>
              <w:tabs>
                <w:tab w:val="left" w:pos="993"/>
              </w:tabs>
              <w:spacing w:after="120"/>
              <w:contextualSpacing/>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 xml:space="preserve">Не пізніше ніж через п’ять робочих днів після проведення </w:t>
            </w:r>
            <w:r w:rsidRPr="00A83F6C">
              <w:rPr>
                <w:rFonts w:ascii="Arial" w:hAnsi="Arial" w:cs="Arial"/>
                <w:noProof/>
                <w:color w:val="000000" w:themeColor="text1"/>
                <w:sz w:val="22"/>
                <w:szCs w:val="22"/>
                <w:lang w:val="uk-UA"/>
              </w:rPr>
              <w:lastRenderedPageBreak/>
              <w:t>громадського слухання, організатор громадських слухань передає уповноваженому органу підписаний і скріплений печаткою протокол громадських слухань із усіма додатками.</w:t>
            </w:r>
          </w:p>
          <w:p w14:paraId="5DD20F9A" w14:textId="77777777" w:rsidR="00BF07C6" w:rsidRPr="00A83F6C" w:rsidRDefault="00BF07C6" w:rsidP="00041452">
            <w:pPr>
              <w:tabs>
                <w:tab w:val="left" w:pos="993"/>
              </w:tabs>
              <w:spacing w:after="120"/>
              <w:contextualSpacing/>
              <w:jc w:val="both"/>
              <w:rPr>
                <w:rFonts w:ascii="Arial" w:hAnsi="Arial" w:cs="Arial"/>
                <w:noProof/>
                <w:color w:val="000000" w:themeColor="text1"/>
                <w:sz w:val="22"/>
                <w:szCs w:val="22"/>
                <w:lang w:val="uk-UA"/>
              </w:rPr>
            </w:pPr>
          </w:p>
        </w:tc>
        <w:tc>
          <w:tcPr>
            <w:tcW w:w="3359" w:type="dxa"/>
          </w:tcPr>
          <w:p w14:paraId="5EAD8007" w14:textId="2C18D730" w:rsidR="00BF07C6" w:rsidRPr="00A83F6C" w:rsidRDefault="00BF07C6" w:rsidP="00041452">
            <w:pPr>
              <w:tabs>
                <w:tab w:val="left" w:pos="993"/>
              </w:tabs>
              <w:spacing w:after="120"/>
              <w:contextualSpacing/>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lastRenderedPageBreak/>
              <w:t xml:space="preserve">Не пізніше ніж через п’ять робочих днів після проведення </w:t>
            </w:r>
            <w:r w:rsidRPr="00A83F6C">
              <w:rPr>
                <w:rFonts w:ascii="Arial" w:hAnsi="Arial" w:cs="Arial"/>
                <w:noProof/>
                <w:color w:val="000000" w:themeColor="text1"/>
                <w:sz w:val="22"/>
                <w:szCs w:val="22"/>
                <w:lang w:val="uk-UA"/>
              </w:rPr>
              <w:lastRenderedPageBreak/>
              <w:t xml:space="preserve">громадського слухання, організатор громадських слухань передає уповноваженому органу підписаний і скріплений печаткою протокол громадських слухань із усіма додатками </w:t>
            </w:r>
            <w:r w:rsidRPr="00C81C4F">
              <w:rPr>
                <w:rFonts w:ascii="Arial" w:hAnsi="Arial" w:cs="Arial"/>
                <w:b/>
                <w:noProof/>
                <w:color w:val="000000" w:themeColor="text1"/>
                <w:sz w:val="22"/>
                <w:szCs w:val="22"/>
                <w:lang w:val="uk-UA"/>
              </w:rPr>
              <w:t>або акт у випадку передбаченому пунктом 25 цього порядку.</w:t>
            </w:r>
          </w:p>
        </w:tc>
        <w:tc>
          <w:tcPr>
            <w:tcW w:w="2367" w:type="dxa"/>
          </w:tcPr>
          <w:p w14:paraId="41157AC3" w14:textId="77777777" w:rsidR="00BF07C6" w:rsidRPr="00A83F6C" w:rsidRDefault="00BF07C6" w:rsidP="00041452">
            <w:pPr>
              <w:rPr>
                <w:rFonts w:ascii="Arial" w:hAnsi="Arial" w:cs="Arial"/>
                <w:noProof/>
                <w:sz w:val="22"/>
                <w:szCs w:val="22"/>
                <w:lang w:val="uk-UA"/>
              </w:rPr>
            </w:pPr>
          </w:p>
        </w:tc>
      </w:tr>
      <w:tr w:rsidR="00BF07C6" w:rsidRPr="00672F9A" w14:paraId="0C0F440D" w14:textId="77777777" w:rsidTr="00E504A3">
        <w:tc>
          <w:tcPr>
            <w:tcW w:w="3397" w:type="dxa"/>
          </w:tcPr>
          <w:p w14:paraId="0E7411B7" w14:textId="77777777" w:rsidR="00BF07C6" w:rsidRPr="00A83F6C" w:rsidRDefault="00BF07C6" w:rsidP="00041452">
            <w:pPr>
              <w:tabs>
                <w:tab w:val="left" w:pos="993"/>
              </w:tabs>
              <w:spacing w:after="120"/>
              <w:contextualSpacing/>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lastRenderedPageBreak/>
              <w:t>Розглядаючи звіт про оцінку впливу на довкілля та готуючи висновок про оцінку впливу на довкілля, уповноважений центральний орган або уповноважений територіальний орган розглядає, враховує, частково враховує або обґрунтовано відхиляє усі зауваження та пропозиції отримані в ході громадських слухань та протягом усього строку громадського обговорення. Уповноважений центральний орган або уповноважений територіальний складає таблицю із зазначенням інформації про повне врахування, часткове врахування або обґрунтоване відхилення отриманих під час громадського обговорення зауважень та пропозицій.</w:t>
            </w:r>
          </w:p>
          <w:p w14:paraId="28E5362D" w14:textId="77777777" w:rsidR="00BF07C6" w:rsidRPr="00A83F6C" w:rsidRDefault="00BF07C6" w:rsidP="00041452">
            <w:pPr>
              <w:tabs>
                <w:tab w:val="left" w:pos="993"/>
              </w:tabs>
              <w:spacing w:after="120"/>
              <w:contextualSpacing/>
              <w:jc w:val="both"/>
              <w:rPr>
                <w:rFonts w:ascii="Arial" w:hAnsi="Arial" w:cs="Arial"/>
                <w:noProof/>
                <w:color w:val="000000" w:themeColor="text1"/>
                <w:sz w:val="22"/>
                <w:szCs w:val="22"/>
                <w:lang w:val="uk-UA"/>
              </w:rPr>
            </w:pPr>
          </w:p>
        </w:tc>
        <w:tc>
          <w:tcPr>
            <w:tcW w:w="3359" w:type="dxa"/>
          </w:tcPr>
          <w:p w14:paraId="7C5C2207" w14:textId="088358BB" w:rsidR="00BF07C6" w:rsidRPr="00A83F6C" w:rsidRDefault="00BF07C6" w:rsidP="00041452">
            <w:pPr>
              <w:tabs>
                <w:tab w:val="left" w:pos="993"/>
              </w:tabs>
              <w:spacing w:after="120"/>
              <w:contextualSpacing/>
              <w:jc w:val="both"/>
              <w:rPr>
                <w:rFonts w:ascii="Arial" w:hAnsi="Arial" w:cs="Arial"/>
                <w:noProof/>
                <w:color w:val="000000" w:themeColor="text1"/>
                <w:sz w:val="22"/>
                <w:szCs w:val="22"/>
                <w:lang w:val="uk-UA"/>
              </w:rPr>
            </w:pPr>
          </w:p>
        </w:tc>
        <w:tc>
          <w:tcPr>
            <w:tcW w:w="2367" w:type="dxa"/>
          </w:tcPr>
          <w:p w14:paraId="759263E5" w14:textId="77777777" w:rsidR="00BF07C6" w:rsidRPr="00A83F6C" w:rsidRDefault="00BF07C6" w:rsidP="00041452">
            <w:pPr>
              <w:rPr>
                <w:rFonts w:ascii="Arial" w:hAnsi="Arial" w:cs="Arial"/>
                <w:noProof/>
                <w:sz w:val="22"/>
                <w:szCs w:val="22"/>
                <w:lang w:val="uk-UA"/>
              </w:rPr>
            </w:pPr>
          </w:p>
        </w:tc>
      </w:tr>
      <w:tr w:rsidR="00BF07C6" w:rsidRPr="00672F9A" w14:paraId="0C516728" w14:textId="77777777" w:rsidTr="00E504A3">
        <w:tc>
          <w:tcPr>
            <w:tcW w:w="3397" w:type="dxa"/>
          </w:tcPr>
          <w:p w14:paraId="6D93087C" w14:textId="77777777" w:rsidR="00BF07C6" w:rsidRPr="00A83F6C" w:rsidRDefault="00BF07C6" w:rsidP="00041452">
            <w:pPr>
              <w:widowControl w:val="0"/>
              <w:tabs>
                <w:tab w:val="left" w:pos="993"/>
              </w:tabs>
              <w:autoSpaceDE w:val="0"/>
              <w:autoSpaceDN w:val="0"/>
              <w:spacing w:after="120"/>
              <w:contextualSpacing/>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lastRenderedPageBreak/>
              <w:t xml:space="preserve">Протоколи усіх громадських слухань і таблиця врахування зауважень та пропозицій громадськості включаються уповноваженим центральним органом або уповноваженим територіальним органом до звіту про громадське обговорення. Звіт про громадське обговорення вноситься уповноваженим центральним органом або уповноваженим територіальним органом до Єдиного реєстру з оцінки впливу на довкілля одночасно із висновком про оцінку впливу на довкілля. </w:t>
            </w:r>
          </w:p>
          <w:p w14:paraId="2AAE3052" w14:textId="77777777" w:rsidR="00BF07C6" w:rsidRPr="00A83F6C" w:rsidRDefault="00BF07C6" w:rsidP="00041452">
            <w:pPr>
              <w:tabs>
                <w:tab w:val="left" w:pos="993"/>
              </w:tabs>
              <w:spacing w:after="120"/>
              <w:contextualSpacing/>
              <w:jc w:val="both"/>
              <w:rPr>
                <w:rFonts w:ascii="Arial" w:hAnsi="Arial" w:cs="Arial"/>
                <w:noProof/>
                <w:color w:val="000000" w:themeColor="text1"/>
                <w:sz w:val="22"/>
                <w:szCs w:val="22"/>
                <w:lang w:val="uk-UA"/>
              </w:rPr>
            </w:pPr>
          </w:p>
        </w:tc>
        <w:tc>
          <w:tcPr>
            <w:tcW w:w="3359" w:type="dxa"/>
          </w:tcPr>
          <w:p w14:paraId="77808FA7" w14:textId="31EFB0BC" w:rsidR="00BF07C6" w:rsidRPr="00A83F6C" w:rsidRDefault="00BF07C6" w:rsidP="005379F8">
            <w:pPr>
              <w:widowControl w:val="0"/>
              <w:tabs>
                <w:tab w:val="left" w:pos="993"/>
              </w:tabs>
              <w:autoSpaceDE w:val="0"/>
              <w:autoSpaceDN w:val="0"/>
              <w:spacing w:after="120"/>
              <w:contextualSpacing/>
              <w:jc w:val="both"/>
              <w:rPr>
                <w:rFonts w:ascii="Arial" w:hAnsi="Arial" w:cs="Arial"/>
                <w:noProof/>
                <w:color w:val="000000" w:themeColor="text1"/>
                <w:sz w:val="22"/>
                <w:szCs w:val="22"/>
                <w:lang w:val="uk-UA"/>
              </w:rPr>
            </w:pPr>
          </w:p>
        </w:tc>
        <w:tc>
          <w:tcPr>
            <w:tcW w:w="2367" w:type="dxa"/>
          </w:tcPr>
          <w:p w14:paraId="1A140004" w14:textId="77777777" w:rsidR="00BF07C6" w:rsidRPr="00A83F6C" w:rsidRDefault="00BF07C6" w:rsidP="00041452">
            <w:pPr>
              <w:rPr>
                <w:rFonts w:ascii="Arial" w:hAnsi="Arial" w:cs="Arial"/>
                <w:noProof/>
                <w:sz w:val="22"/>
                <w:szCs w:val="22"/>
                <w:lang w:val="uk-UA"/>
              </w:rPr>
            </w:pPr>
          </w:p>
        </w:tc>
      </w:tr>
      <w:tr w:rsidR="00BF07C6" w:rsidRPr="00672F9A" w14:paraId="21B7595E" w14:textId="77777777" w:rsidTr="00E504A3">
        <w:tc>
          <w:tcPr>
            <w:tcW w:w="3397" w:type="dxa"/>
          </w:tcPr>
          <w:p w14:paraId="6C55C645" w14:textId="77777777" w:rsidR="00BF07C6" w:rsidRPr="00A83F6C" w:rsidRDefault="00BF07C6" w:rsidP="00041452">
            <w:pPr>
              <w:widowControl w:val="0"/>
              <w:tabs>
                <w:tab w:val="left" w:pos="993"/>
              </w:tabs>
              <w:autoSpaceDE w:val="0"/>
              <w:autoSpaceDN w:val="0"/>
              <w:spacing w:after="120"/>
              <w:contextualSpacing/>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Витрати, пов’язані з проведенням громадських слухань, окрім випадків передбачених у пункті 11 цього Порядку, несе суб’єкт господарювання.</w:t>
            </w:r>
          </w:p>
          <w:p w14:paraId="1CC3E58F" w14:textId="77777777" w:rsidR="00BF07C6" w:rsidRPr="00A83F6C" w:rsidRDefault="00BF07C6" w:rsidP="00041452">
            <w:pPr>
              <w:tabs>
                <w:tab w:val="left" w:pos="993"/>
              </w:tabs>
              <w:spacing w:after="120"/>
              <w:contextualSpacing/>
              <w:jc w:val="both"/>
              <w:rPr>
                <w:rFonts w:ascii="Arial" w:hAnsi="Arial" w:cs="Arial"/>
                <w:noProof/>
                <w:color w:val="000000" w:themeColor="text1"/>
                <w:sz w:val="22"/>
                <w:szCs w:val="22"/>
                <w:lang w:val="uk-UA"/>
              </w:rPr>
            </w:pPr>
          </w:p>
        </w:tc>
        <w:tc>
          <w:tcPr>
            <w:tcW w:w="3359" w:type="dxa"/>
          </w:tcPr>
          <w:p w14:paraId="1D5CE8D3" w14:textId="7A0B7CD0" w:rsidR="00B060D5" w:rsidRPr="00B060D5" w:rsidRDefault="00BF07C6" w:rsidP="00B060D5">
            <w:pPr>
              <w:widowControl w:val="0"/>
              <w:tabs>
                <w:tab w:val="left" w:pos="1134"/>
              </w:tabs>
              <w:autoSpaceDE w:val="0"/>
              <w:autoSpaceDN w:val="0"/>
              <w:adjustRightInd w:val="0"/>
              <w:contextualSpacing/>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 xml:space="preserve">Витрати, пов’язані з проведенням громадських слухань несе суб’єкт господарювання. Ці витрати включаються у єдину </w:t>
            </w:r>
            <w:r w:rsidR="00B060D5">
              <w:rPr>
                <w:rFonts w:ascii="Arial" w:hAnsi="Arial" w:cs="Arial"/>
                <w:noProof/>
                <w:color w:val="000000" w:themeColor="text1"/>
                <w:sz w:val="22"/>
                <w:szCs w:val="22"/>
                <w:lang w:val="uk-UA"/>
              </w:rPr>
              <w:t>плату за</w:t>
            </w:r>
            <w:r w:rsidRPr="00A83F6C">
              <w:rPr>
                <w:rFonts w:ascii="Arial" w:hAnsi="Arial" w:cs="Arial"/>
                <w:noProof/>
                <w:color w:val="000000" w:themeColor="text1"/>
                <w:sz w:val="22"/>
                <w:szCs w:val="22"/>
                <w:lang w:val="uk-UA"/>
              </w:rPr>
              <w:t xml:space="preserve"> проведення оцінки впливу на довкілля, яка ви</w:t>
            </w:r>
            <w:r w:rsidR="00041452" w:rsidRPr="00A83F6C">
              <w:rPr>
                <w:rFonts w:ascii="Arial" w:hAnsi="Arial" w:cs="Arial"/>
                <w:noProof/>
                <w:color w:val="000000" w:themeColor="text1"/>
                <w:sz w:val="22"/>
                <w:szCs w:val="22"/>
                <w:lang w:val="uk-UA"/>
              </w:rPr>
              <w:t>з</w:t>
            </w:r>
            <w:r w:rsidRPr="00A83F6C">
              <w:rPr>
                <w:rFonts w:ascii="Arial" w:hAnsi="Arial" w:cs="Arial"/>
                <w:noProof/>
                <w:color w:val="000000" w:themeColor="text1"/>
                <w:sz w:val="22"/>
                <w:szCs w:val="22"/>
                <w:lang w:val="uk-UA"/>
              </w:rPr>
              <w:t xml:space="preserve">начається </w:t>
            </w:r>
            <w:r w:rsidR="00B060D5" w:rsidRPr="00B060D5">
              <w:rPr>
                <w:rFonts w:ascii="Arial" w:hAnsi="Arial" w:cs="Arial"/>
                <w:noProof/>
                <w:color w:val="000000" w:themeColor="text1"/>
                <w:sz w:val="22"/>
                <w:szCs w:val="22"/>
                <w:lang w:val="uk-UA"/>
              </w:rPr>
              <w:t xml:space="preserve">спільним наказом головного органу у системі центральних органів виконавчої влади, що забезпечує формування і реалізує державну політику у сфері охорони навколишнього природного середовища та екологічної безпеки та головного органу у системі </w:t>
            </w:r>
            <w:r w:rsidR="00B060D5" w:rsidRPr="00B060D5">
              <w:rPr>
                <w:rFonts w:ascii="Arial" w:hAnsi="Arial" w:cs="Arial"/>
                <w:noProof/>
                <w:color w:val="000000" w:themeColor="text1"/>
                <w:sz w:val="22"/>
                <w:szCs w:val="22"/>
                <w:lang w:val="uk-UA"/>
              </w:rPr>
              <w:lastRenderedPageBreak/>
              <w:t>центральних органів виконавчої влади, що забезпечує формування та реалізує державної фінансової та бюджетної політики.</w:t>
            </w:r>
          </w:p>
          <w:p w14:paraId="224A57F9" w14:textId="536679D6" w:rsidR="00BF07C6" w:rsidRPr="00A83F6C" w:rsidRDefault="00BF07C6" w:rsidP="005379F8">
            <w:pPr>
              <w:widowControl w:val="0"/>
              <w:tabs>
                <w:tab w:val="left" w:pos="993"/>
              </w:tabs>
              <w:autoSpaceDE w:val="0"/>
              <w:autoSpaceDN w:val="0"/>
              <w:spacing w:after="120"/>
              <w:contextualSpacing/>
              <w:jc w:val="both"/>
              <w:rPr>
                <w:rFonts w:ascii="Arial" w:hAnsi="Arial" w:cs="Arial"/>
                <w:noProof/>
                <w:color w:val="000000" w:themeColor="text1"/>
                <w:sz w:val="22"/>
                <w:szCs w:val="22"/>
                <w:lang w:val="uk-UA"/>
              </w:rPr>
            </w:pPr>
          </w:p>
        </w:tc>
        <w:tc>
          <w:tcPr>
            <w:tcW w:w="2367" w:type="dxa"/>
          </w:tcPr>
          <w:p w14:paraId="191DA7B4" w14:textId="77777777" w:rsidR="00BF07C6" w:rsidRPr="00A83F6C" w:rsidRDefault="00BF07C6" w:rsidP="00041452">
            <w:pPr>
              <w:rPr>
                <w:rFonts w:ascii="Arial" w:hAnsi="Arial" w:cs="Arial"/>
                <w:noProof/>
                <w:sz w:val="22"/>
                <w:szCs w:val="22"/>
                <w:lang w:val="uk-UA"/>
              </w:rPr>
            </w:pPr>
          </w:p>
        </w:tc>
      </w:tr>
    </w:tbl>
    <w:p w14:paraId="07FB79DD" w14:textId="77777777" w:rsidR="00041452" w:rsidRPr="00A83F6C" w:rsidRDefault="00041452" w:rsidP="005379F8">
      <w:pPr>
        <w:spacing w:after="120"/>
        <w:jc w:val="both"/>
        <w:rPr>
          <w:rFonts w:ascii="Arial" w:hAnsi="Arial" w:cs="Arial"/>
          <w:noProof/>
          <w:color w:val="000000" w:themeColor="text1"/>
          <w:sz w:val="22"/>
          <w:szCs w:val="22"/>
          <w:lang w:val="uk-UA"/>
        </w:rPr>
      </w:pPr>
      <w:bookmarkStart w:id="1" w:name="_GoBack"/>
      <w:bookmarkEnd w:id="1"/>
    </w:p>
    <w:p w14:paraId="11CDF95C" w14:textId="1E70BCB4" w:rsidR="00041452" w:rsidRPr="00A83F6C" w:rsidRDefault="00041452" w:rsidP="005379F8">
      <w:pPr>
        <w:spacing w:after="120"/>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Додатки № 1 та № 5 пропонуємо викласти у такій редакції.</w:t>
      </w:r>
    </w:p>
    <w:p w14:paraId="6BCB6D4D" w14:textId="7C98ED21" w:rsidR="00BF07C6" w:rsidRPr="00A83F6C" w:rsidRDefault="00BF07C6" w:rsidP="00041452">
      <w:pPr>
        <w:spacing w:after="120"/>
        <w:ind w:left="5812"/>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 xml:space="preserve">Додаток 1 </w:t>
      </w:r>
    </w:p>
    <w:p w14:paraId="762D2199" w14:textId="77777777" w:rsidR="00BF07C6" w:rsidRPr="00A83F6C" w:rsidRDefault="00BF07C6" w:rsidP="00041452">
      <w:pPr>
        <w:spacing w:after="120"/>
        <w:ind w:left="5812"/>
        <w:jc w:val="both"/>
        <w:rPr>
          <w:rFonts w:ascii="Arial" w:hAnsi="Arial" w:cs="Arial"/>
          <w:bCs/>
          <w:noProof/>
          <w:color w:val="000000" w:themeColor="text1"/>
          <w:sz w:val="22"/>
          <w:szCs w:val="22"/>
          <w:lang w:val="uk-UA"/>
        </w:rPr>
      </w:pPr>
      <w:r w:rsidRPr="00A83F6C">
        <w:rPr>
          <w:rFonts w:ascii="Arial" w:hAnsi="Arial" w:cs="Arial"/>
          <w:noProof/>
          <w:color w:val="000000" w:themeColor="text1"/>
          <w:sz w:val="22"/>
          <w:szCs w:val="22"/>
          <w:lang w:val="uk-UA"/>
        </w:rPr>
        <w:t>до Порядку проведення громадських слухань у процесі оцінки впливу на довкілля</w:t>
      </w:r>
    </w:p>
    <w:p w14:paraId="3C6EE9E3" w14:textId="77777777" w:rsidR="00BF07C6" w:rsidRPr="00A83F6C" w:rsidRDefault="00BF07C6" w:rsidP="00041452">
      <w:pPr>
        <w:spacing w:after="120"/>
        <w:ind w:left="709" w:hanging="708"/>
        <w:jc w:val="center"/>
        <w:rPr>
          <w:rFonts w:ascii="Arial" w:hAnsi="Arial" w:cs="Arial"/>
          <w:b/>
          <w:bCs/>
          <w:noProof/>
          <w:color w:val="000000" w:themeColor="text1"/>
          <w:sz w:val="22"/>
          <w:szCs w:val="22"/>
          <w:lang w:val="uk-UA"/>
        </w:rPr>
      </w:pPr>
    </w:p>
    <w:p w14:paraId="060F7452" w14:textId="77777777" w:rsidR="00BF07C6" w:rsidRPr="00A83F6C" w:rsidRDefault="00BF07C6" w:rsidP="00041452">
      <w:pPr>
        <w:spacing w:after="120"/>
        <w:ind w:left="709" w:hanging="708"/>
        <w:jc w:val="center"/>
        <w:rPr>
          <w:rFonts w:ascii="Arial" w:hAnsi="Arial" w:cs="Arial"/>
          <w:b/>
          <w:bCs/>
          <w:noProof/>
          <w:color w:val="000000" w:themeColor="text1"/>
          <w:sz w:val="22"/>
          <w:szCs w:val="22"/>
          <w:lang w:val="uk-UA"/>
        </w:rPr>
      </w:pPr>
      <w:r w:rsidRPr="00A83F6C">
        <w:rPr>
          <w:rFonts w:ascii="Arial" w:hAnsi="Arial" w:cs="Arial"/>
          <w:b/>
          <w:bCs/>
          <w:noProof/>
          <w:color w:val="000000" w:themeColor="text1"/>
          <w:sz w:val="22"/>
          <w:szCs w:val="22"/>
          <w:lang w:val="uk-UA"/>
        </w:rPr>
        <w:t>Додаток 1 </w:t>
      </w:r>
    </w:p>
    <w:p w14:paraId="19EE32E0" w14:textId="77777777" w:rsidR="00BF07C6" w:rsidRPr="00A83F6C" w:rsidRDefault="00BF07C6" w:rsidP="00041452">
      <w:pPr>
        <w:spacing w:after="120"/>
        <w:ind w:left="709" w:hanging="708"/>
        <w:jc w:val="center"/>
        <w:rPr>
          <w:rFonts w:ascii="Arial" w:hAnsi="Arial" w:cs="Arial"/>
          <w:b/>
          <w:bCs/>
          <w:noProof/>
          <w:color w:val="000000" w:themeColor="text1"/>
          <w:sz w:val="22"/>
          <w:szCs w:val="22"/>
          <w:lang w:val="uk-UA"/>
        </w:rPr>
      </w:pPr>
      <w:r w:rsidRPr="00A83F6C">
        <w:rPr>
          <w:rFonts w:ascii="Arial" w:hAnsi="Arial" w:cs="Arial"/>
          <w:b/>
          <w:bCs/>
          <w:noProof/>
          <w:color w:val="000000" w:themeColor="text1"/>
          <w:sz w:val="22"/>
          <w:szCs w:val="22"/>
          <w:lang w:val="uk-UA"/>
        </w:rPr>
        <w:t>до протоколу громадських слухань щодо</w:t>
      </w:r>
    </w:p>
    <w:p w14:paraId="622280FB" w14:textId="77777777" w:rsidR="00BF07C6" w:rsidRPr="00A83F6C" w:rsidRDefault="00BF07C6" w:rsidP="00041452">
      <w:pPr>
        <w:spacing w:after="120"/>
        <w:ind w:left="709" w:hanging="708"/>
        <w:jc w:val="center"/>
        <w:rPr>
          <w:rFonts w:ascii="Arial" w:hAnsi="Arial" w:cs="Arial"/>
          <w:b/>
          <w:bCs/>
          <w:noProof/>
          <w:color w:val="000000" w:themeColor="text1"/>
          <w:sz w:val="22"/>
          <w:szCs w:val="22"/>
          <w:lang w:val="uk-UA"/>
        </w:rPr>
      </w:pPr>
    </w:p>
    <w:p w14:paraId="60BB1392" w14:textId="442F6EA3" w:rsidR="00BF07C6" w:rsidRPr="00A83F6C" w:rsidRDefault="00BF07C6" w:rsidP="00041452">
      <w:pPr>
        <w:spacing w:after="120"/>
        <w:ind w:left="709" w:hanging="708"/>
        <w:jc w:val="center"/>
        <w:rPr>
          <w:rFonts w:ascii="Arial" w:hAnsi="Arial" w:cs="Arial"/>
          <w:b/>
          <w:bCs/>
          <w:noProof/>
          <w:color w:val="000000" w:themeColor="text1"/>
          <w:sz w:val="22"/>
          <w:szCs w:val="22"/>
          <w:lang w:val="uk-UA"/>
        </w:rPr>
      </w:pPr>
      <w:r w:rsidRPr="00A83F6C">
        <w:rPr>
          <w:rFonts w:ascii="Arial" w:hAnsi="Arial" w:cs="Arial"/>
          <w:b/>
          <w:bCs/>
          <w:noProof/>
          <w:color w:val="000000" w:themeColor="text1"/>
          <w:sz w:val="22"/>
          <w:szCs w:val="22"/>
          <w:lang w:val="uk-UA"/>
        </w:rPr>
        <w:t>____________</w:t>
      </w:r>
      <w:r w:rsidR="005379F8">
        <w:rPr>
          <w:rFonts w:ascii="Arial" w:hAnsi="Arial" w:cs="Arial"/>
          <w:b/>
          <w:bCs/>
          <w:noProof/>
          <w:color w:val="000000" w:themeColor="text1"/>
          <w:sz w:val="22"/>
          <w:szCs w:val="22"/>
          <w:lang w:val="uk-UA"/>
        </w:rPr>
        <w:t>_______________</w:t>
      </w:r>
      <w:r w:rsidRPr="00A83F6C">
        <w:rPr>
          <w:rFonts w:ascii="Arial" w:hAnsi="Arial" w:cs="Arial"/>
          <w:b/>
          <w:bCs/>
          <w:noProof/>
          <w:color w:val="000000" w:themeColor="text1"/>
          <w:sz w:val="22"/>
          <w:szCs w:val="22"/>
          <w:lang w:val="uk-UA"/>
        </w:rPr>
        <w:t>______________________________________________</w:t>
      </w:r>
    </w:p>
    <w:p w14:paraId="03EAA195" w14:textId="77777777" w:rsidR="00BF07C6" w:rsidRPr="00A83F6C" w:rsidRDefault="00BF07C6" w:rsidP="00041452">
      <w:pPr>
        <w:pBdr>
          <w:bottom w:val="single" w:sz="12" w:space="1" w:color="auto"/>
        </w:pBdr>
        <w:spacing w:after="120"/>
        <w:ind w:left="709" w:hanging="708"/>
        <w:jc w:val="center"/>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(планована діяльність)</w:t>
      </w:r>
    </w:p>
    <w:p w14:paraId="5B4586ED" w14:textId="77777777" w:rsidR="00BF07C6" w:rsidRPr="00A83F6C" w:rsidRDefault="00BF07C6" w:rsidP="00041452">
      <w:pPr>
        <w:pBdr>
          <w:bottom w:val="single" w:sz="12" w:space="1" w:color="auto"/>
        </w:pBdr>
        <w:spacing w:after="120"/>
        <w:ind w:left="709" w:hanging="708"/>
        <w:jc w:val="center"/>
        <w:rPr>
          <w:rFonts w:ascii="Arial" w:hAnsi="Arial" w:cs="Arial"/>
          <w:noProof/>
          <w:color w:val="000000" w:themeColor="text1"/>
          <w:sz w:val="22"/>
          <w:szCs w:val="22"/>
          <w:lang w:val="uk-UA"/>
        </w:rPr>
      </w:pPr>
    </w:p>
    <w:p w14:paraId="15561BF9" w14:textId="77777777" w:rsidR="00BF07C6" w:rsidRPr="00A83F6C" w:rsidRDefault="00BF07C6" w:rsidP="00041452">
      <w:pPr>
        <w:spacing w:after="120"/>
        <w:ind w:left="709" w:hanging="708"/>
        <w:jc w:val="center"/>
        <w:rPr>
          <w:rFonts w:ascii="Arial" w:hAnsi="Arial" w:cs="Arial"/>
          <w:bCs/>
          <w:noProof/>
          <w:color w:val="000000" w:themeColor="text1"/>
          <w:sz w:val="22"/>
          <w:szCs w:val="22"/>
          <w:lang w:val="uk-UA"/>
        </w:rPr>
      </w:pPr>
      <w:r w:rsidRPr="00A83F6C">
        <w:rPr>
          <w:rFonts w:ascii="Arial" w:hAnsi="Arial" w:cs="Arial"/>
          <w:bCs/>
          <w:noProof/>
          <w:color w:val="000000" w:themeColor="text1"/>
          <w:sz w:val="22"/>
          <w:szCs w:val="22"/>
          <w:lang w:val="uk-UA"/>
        </w:rPr>
        <w:t xml:space="preserve"> (місце проведення) </w:t>
      </w:r>
    </w:p>
    <w:p w14:paraId="56FFD3FF" w14:textId="77777777" w:rsidR="005432F0" w:rsidRDefault="005432F0" w:rsidP="00041452">
      <w:pPr>
        <w:spacing w:after="120"/>
        <w:ind w:left="709" w:hanging="708"/>
        <w:jc w:val="center"/>
        <w:rPr>
          <w:rFonts w:ascii="Arial" w:hAnsi="Arial" w:cs="Arial"/>
          <w:bCs/>
          <w:noProof/>
          <w:color w:val="000000" w:themeColor="text1"/>
          <w:sz w:val="22"/>
          <w:szCs w:val="22"/>
          <w:lang w:val="uk-UA"/>
        </w:rPr>
      </w:pPr>
    </w:p>
    <w:p w14:paraId="237BEC30" w14:textId="77777777" w:rsidR="00BF07C6" w:rsidRPr="00A83F6C" w:rsidRDefault="00BF07C6" w:rsidP="00041452">
      <w:pPr>
        <w:spacing w:after="120"/>
        <w:ind w:left="709" w:hanging="708"/>
        <w:jc w:val="center"/>
        <w:rPr>
          <w:rFonts w:ascii="Arial" w:hAnsi="Arial" w:cs="Arial"/>
          <w:noProof/>
          <w:color w:val="000000" w:themeColor="text1"/>
          <w:sz w:val="22"/>
          <w:szCs w:val="22"/>
          <w:lang w:val="uk-UA"/>
        </w:rPr>
      </w:pPr>
      <w:r w:rsidRPr="00A83F6C">
        <w:rPr>
          <w:rFonts w:ascii="Arial" w:hAnsi="Arial" w:cs="Arial"/>
          <w:bCs/>
          <w:noProof/>
          <w:color w:val="000000" w:themeColor="text1"/>
          <w:sz w:val="22"/>
          <w:szCs w:val="22"/>
          <w:lang w:val="uk-UA"/>
        </w:rPr>
        <w:t>від "___" ____________20__ р.</w:t>
      </w:r>
    </w:p>
    <w:p w14:paraId="6420A0E9" w14:textId="77777777" w:rsidR="00BF07C6" w:rsidRPr="00A83F6C" w:rsidRDefault="00BF07C6" w:rsidP="00041452">
      <w:pPr>
        <w:spacing w:after="120"/>
        <w:ind w:left="709" w:hanging="708"/>
        <w:jc w:val="center"/>
        <w:outlineLvl w:val="2"/>
        <w:rPr>
          <w:rFonts w:ascii="Arial" w:eastAsia="Times New Roman" w:hAnsi="Arial" w:cs="Arial"/>
          <w:b/>
          <w:bCs/>
          <w:noProof/>
          <w:color w:val="000000" w:themeColor="text1"/>
          <w:sz w:val="22"/>
          <w:szCs w:val="22"/>
          <w:lang w:val="uk-UA"/>
        </w:rPr>
      </w:pPr>
      <w:bookmarkStart w:id="2" w:name="289"/>
      <w:bookmarkEnd w:id="2"/>
    </w:p>
    <w:p w14:paraId="76610AAA" w14:textId="77777777" w:rsidR="00514B99" w:rsidRDefault="00BF07C6">
      <w:pPr>
        <w:spacing w:after="120"/>
        <w:ind w:left="709" w:hanging="708"/>
        <w:jc w:val="center"/>
        <w:outlineLvl w:val="2"/>
        <w:rPr>
          <w:rFonts w:ascii="Arial" w:eastAsia="Times New Roman" w:hAnsi="Arial" w:cs="Arial"/>
          <w:b/>
          <w:bCs/>
          <w:noProof/>
          <w:color w:val="000000" w:themeColor="text1"/>
          <w:sz w:val="22"/>
          <w:szCs w:val="22"/>
          <w:lang w:val="uk-UA"/>
        </w:rPr>
      </w:pPr>
      <w:r w:rsidRPr="00A83F6C">
        <w:rPr>
          <w:rFonts w:ascii="Arial" w:eastAsia="Times New Roman" w:hAnsi="Arial" w:cs="Arial"/>
          <w:b/>
          <w:bCs/>
          <w:noProof/>
          <w:color w:val="000000" w:themeColor="text1"/>
          <w:sz w:val="22"/>
          <w:szCs w:val="22"/>
          <w:lang w:val="uk-UA"/>
        </w:rPr>
        <w:t>ЖУРНАЛ (ВІДОМІСТЬ) РЕЄСТРАЦІЇ</w:t>
      </w:r>
    </w:p>
    <w:p w14:paraId="52CA02AE" w14:textId="03E30E1A" w:rsidR="00BF07C6" w:rsidRPr="00A83F6C" w:rsidRDefault="00BF07C6">
      <w:pPr>
        <w:spacing w:after="120"/>
        <w:ind w:left="709" w:hanging="708"/>
        <w:jc w:val="center"/>
        <w:outlineLvl w:val="2"/>
        <w:rPr>
          <w:rFonts w:ascii="Arial" w:eastAsia="Times New Roman" w:hAnsi="Arial" w:cs="Arial"/>
          <w:b/>
          <w:bCs/>
          <w:noProof/>
          <w:color w:val="000000" w:themeColor="text1"/>
          <w:sz w:val="22"/>
          <w:szCs w:val="22"/>
          <w:lang w:val="uk-UA"/>
        </w:rPr>
      </w:pPr>
      <w:r w:rsidRPr="00A83F6C">
        <w:rPr>
          <w:rFonts w:ascii="Arial" w:eastAsia="Times New Roman" w:hAnsi="Arial" w:cs="Arial"/>
          <w:b/>
          <w:bCs/>
          <w:noProof/>
          <w:color w:val="000000" w:themeColor="text1"/>
          <w:sz w:val="22"/>
          <w:szCs w:val="22"/>
          <w:lang w:val="uk-UA"/>
        </w:rPr>
        <w:br/>
        <w:t>учасників громадських слухань щодо</w:t>
      </w:r>
    </w:p>
    <w:p w14:paraId="2AD5A69A" w14:textId="1DB1499E" w:rsidR="00BF07C6" w:rsidRPr="00A83F6C" w:rsidRDefault="00BF07C6" w:rsidP="00041452">
      <w:pPr>
        <w:spacing w:after="120"/>
        <w:ind w:left="709" w:hanging="708"/>
        <w:jc w:val="center"/>
        <w:rPr>
          <w:rFonts w:ascii="Arial" w:hAnsi="Arial" w:cs="Arial"/>
          <w:b/>
          <w:bCs/>
          <w:noProof/>
          <w:color w:val="000000" w:themeColor="text1"/>
          <w:sz w:val="22"/>
          <w:szCs w:val="22"/>
          <w:lang w:val="uk-UA"/>
        </w:rPr>
      </w:pPr>
      <w:r w:rsidRPr="00A83F6C">
        <w:rPr>
          <w:rFonts w:ascii="Arial" w:hAnsi="Arial" w:cs="Arial"/>
          <w:b/>
          <w:bCs/>
          <w:noProof/>
          <w:color w:val="000000" w:themeColor="text1"/>
          <w:sz w:val="22"/>
          <w:szCs w:val="22"/>
          <w:lang w:val="uk-UA"/>
        </w:rPr>
        <w:t>__________________________________________________________</w:t>
      </w:r>
      <w:r w:rsidR="005379F8">
        <w:rPr>
          <w:rFonts w:ascii="Arial" w:hAnsi="Arial" w:cs="Arial"/>
          <w:b/>
          <w:bCs/>
          <w:noProof/>
          <w:color w:val="000000" w:themeColor="text1"/>
          <w:sz w:val="22"/>
          <w:szCs w:val="22"/>
          <w:lang w:val="uk-UA"/>
        </w:rPr>
        <w:t>_______________</w:t>
      </w:r>
    </w:p>
    <w:p w14:paraId="6165302B" w14:textId="77777777" w:rsidR="00BF07C6" w:rsidRPr="00A83F6C" w:rsidRDefault="00BF07C6" w:rsidP="00041452">
      <w:pPr>
        <w:pBdr>
          <w:bottom w:val="single" w:sz="12" w:space="1" w:color="auto"/>
        </w:pBdr>
        <w:spacing w:after="120"/>
        <w:ind w:left="709" w:hanging="708"/>
        <w:jc w:val="center"/>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lastRenderedPageBreak/>
        <w:t>(планована діяльність)</w:t>
      </w:r>
    </w:p>
    <w:p w14:paraId="01F5D3BE" w14:textId="77777777" w:rsidR="00BF07C6" w:rsidRPr="00A83F6C" w:rsidRDefault="00BF07C6" w:rsidP="00041452">
      <w:pPr>
        <w:pBdr>
          <w:bottom w:val="single" w:sz="12" w:space="1" w:color="auto"/>
        </w:pBdr>
        <w:spacing w:after="120"/>
        <w:ind w:left="709" w:hanging="708"/>
        <w:jc w:val="center"/>
        <w:rPr>
          <w:rFonts w:ascii="Arial" w:hAnsi="Arial" w:cs="Arial"/>
          <w:noProof/>
          <w:color w:val="000000" w:themeColor="text1"/>
          <w:sz w:val="22"/>
          <w:szCs w:val="22"/>
          <w:lang w:val="uk-UA"/>
        </w:rPr>
      </w:pPr>
    </w:p>
    <w:p w14:paraId="4EC8C5A3" w14:textId="77777777" w:rsidR="00BF07C6" w:rsidRPr="00A83F6C" w:rsidRDefault="00BF07C6" w:rsidP="00041452">
      <w:pPr>
        <w:spacing w:after="120"/>
        <w:ind w:left="709" w:hanging="708"/>
        <w:jc w:val="center"/>
        <w:rPr>
          <w:rFonts w:ascii="Arial" w:hAnsi="Arial" w:cs="Arial"/>
          <w:bCs/>
          <w:noProof/>
          <w:color w:val="000000" w:themeColor="text1"/>
          <w:sz w:val="22"/>
          <w:szCs w:val="22"/>
          <w:lang w:val="uk-UA"/>
        </w:rPr>
      </w:pPr>
      <w:r w:rsidRPr="00A83F6C">
        <w:rPr>
          <w:rFonts w:ascii="Arial" w:hAnsi="Arial" w:cs="Arial"/>
          <w:bCs/>
          <w:noProof/>
          <w:color w:val="000000" w:themeColor="text1"/>
          <w:sz w:val="22"/>
          <w:szCs w:val="22"/>
          <w:lang w:val="uk-UA"/>
        </w:rPr>
        <w:t xml:space="preserve"> (місце проведення) </w:t>
      </w:r>
    </w:p>
    <w:p w14:paraId="0752DF1A" w14:textId="77777777" w:rsidR="00BF07C6" w:rsidRPr="00A83F6C" w:rsidRDefault="00BF07C6" w:rsidP="00041452">
      <w:pPr>
        <w:spacing w:after="120"/>
        <w:ind w:left="709" w:hanging="708"/>
        <w:jc w:val="center"/>
        <w:outlineLvl w:val="2"/>
        <w:rPr>
          <w:rFonts w:ascii="Arial" w:eastAsia="Times New Roman" w:hAnsi="Arial" w:cs="Arial"/>
          <w:b/>
          <w:bCs/>
          <w:noProof/>
          <w:color w:val="000000" w:themeColor="text1"/>
          <w:sz w:val="22"/>
          <w:szCs w:val="22"/>
          <w:lang w:val="uk-UA"/>
        </w:rPr>
      </w:pPr>
      <w:r w:rsidRPr="00A83F6C">
        <w:rPr>
          <w:rFonts w:ascii="Arial" w:eastAsia="Times New Roman" w:hAnsi="Arial" w:cs="Arial"/>
          <w:b/>
          <w:bCs/>
          <w:noProof/>
          <w:color w:val="000000" w:themeColor="text1"/>
          <w:sz w:val="22"/>
          <w:szCs w:val="22"/>
          <w:lang w:val="uk-UA"/>
        </w:rPr>
        <w:softHyphen/>
      </w:r>
      <w:r w:rsidRPr="00A83F6C">
        <w:rPr>
          <w:rFonts w:ascii="Arial" w:eastAsia="Times New Roman" w:hAnsi="Arial" w:cs="Arial"/>
          <w:b/>
          <w:bCs/>
          <w:noProof/>
          <w:color w:val="000000" w:themeColor="text1"/>
          <w:sz w:val="22"/>
          <w:szCs w:val="22"/>
          <w:lang w:val="uk-UA"/>
        </w:rPr>
        <w:softHyphen/>
      </w:r>
      <w:r w:rsidRPr="00A83F6C">
        <w:rPr>
          <w:rFonts w:ascii="Arial" w:eastAsia="Times New Roman" w:hAnsi="Arial" w:cs="Arial"/>
          <w:b/>
          <w:bCs/>
          <w:noProof/>
          <w:color w:val="000000" w:themeColor="text1"/>
          <w:sz w:val="22"/>
          <w:szCs w:val="22"/>
          <w:lang w:val="uk-UA"/>
        </w:rPr>
        <w:softHyphen/>
      </w:r>
      <w:r w:rsidRPr="00A83F6C">
        <w:rPr>
          <w:rFonts w:ascii="Arial" w:eastAsia="Times New Roman" w:hAnsi="Arial" w:cs="Arial"/>
          <w:b/>
          <w:bCs/>
          <w:noProof/>
          <w:color w:val="000000" w:themeColor="text1"/>
          <w:sz w:val="22"/>
          <w:szCs w:val="22"/>
          <w:lang w:val="uk-UA"/>
        </w:rPr>
        <w:softHyphen/>
      </w:r>
      <w:r w:rsidRPr="00A83F6C">
        <w:rPr>
          <w:rFonts w:ascii="Arial" w:eastAsia="Times New Roman" w:hAnsi="Arial" w:cs="Arial"/>
          <w:b/>
          <w:bCs/>
          <w:noProof/>
          <w:color w:val="000000" w:themeColor="text1"/>
          <w:sz w:val="22"/>
          <w:szCs w:val="22"/>
          <w:lang w:val="uk-UA"/>
        </w:rPr>
        <w:softHyphen/>
      </w:r>
      <w:r w:rsidRPr="00A83F6C">
        <w:rPr>
          <w:rFonts w:ascii="Arial" w:eastAsia="Times New Roman" w:hAnsi="Arial" w:cs="Arial"/>
          <w:b/>
          <w:bCs/>
          <w:noProof/>
          <w:color w:val="000000" w:themeColor="text1"/>
          <w:sz w:val="22"/>
          <w:szCs w:val="22"/>
          <w:lang w:val="uk-UA"/>
        </w:rPr>
        <w:softHyphen/>
      </w:r>
      <w:r w:rsidRPr="00A83F6C">
        <w:rPr>
          <w:rFonts w:ascii="Arial" w:eastAsia="Times New Roman" w:hAnsi="Arial" w:cs="Arial"/>
          <w:b/>
          <w:bCs/>
          <w:noProof/>
          <w:color w:val="000000" w:themeColor="text1"/>
          <w:sz w:val="22"/>
          <w:szCs w:val="22"/>
          <w:lang w:val="uk-UA"/>
        </w:rPr>
        <w:softHyphen/>
      </w:r>
    </w:p>
    <w:p w14:paraId="1145AD9B" w14:textId="4B73A9E3" w:rsidR="00BF07C6" w:rsidRPr="00E504A3" w:rsidRDefault="00BF07C6" w:rsidP="00041452">
      <w:pPr>
        <w:spacing w:after="120"/>
        <w:ind w:left="709" w:right="89" w:hanging="708"/>
        <w:rPr>
          <w:rFonts w:ascii="Arial" w:hAnsi="Arial" w:cs="Arial"/>
          <w:strike/>
          <w:noProof/>
          <w:color w:val="000000" w:themeColor="text1"/>
          <w:sz w:val="22"/>
          <w:szCs w:val="22"/>
          <w:lang w:val="uk-UA"/>
        </w:rPr>
      </w:pPr>
      <w:r w:rsidRPr="00A83F6C">
        <w:rPr>
          <w:rFonts w:ascii="Arial" w:hAnsi="Arial" w:cs="Arial"/>
          <w:noProof/>
          <w:color w:val="000000" w:themeColor="text1"/>
          <w:sz w:val="22"/>
          <w:szCs w:val="22"/>
          <w:lang w:val="uk-UA"/>
        </w:rPr>
        <w:t>"</w:t>
      </w:r>
      <w:r w:rsidR="005379F8">
        <w:rPr>
          <w:rFonts w:ascii="Arial" w:hAnsi="Arial" w:cs="Arial"/>
          <w:noProof/>
          <w:color w:val="000000" w:themeColor="text1"/>
          <w:sz w:val="22"/>
          <w:szCs w:val="22"/>
          <w:lang w:val="uk-UA"/>
        </w:rPr>
        <w:t xml:space="preserve">___" ____________ 20__ року </w:t>
      </w:r>
      <w:r w:rsidR="005379F8">
        <w:rPr>
          <w:rFonts w:ascii="Arial" w:hAnsi="Arial" w:cs="Arial"/>
          <w:noProof/>
          <w:color w:val="000000" w:themeColor="text1"/>
          <w:sz w:val="22"/>
          <w:szCs w:val="22"/>
          <w:lang w:val="uk-UA"/>
        </w:rPr>
        <w:tab/>
      </w:r>
      <w:r w:rsidR="005379F8">
        <w:rPr>
          <w:rFonts w:ascii="Arial" w:hAnsi="Arial" w:cs="Arial"/>
          <w:noProof/>
          <w:color w:val="000000" w:themeColor="text1"/>
          <w:sz w:val="22"/>
          <w:szCs w:val="22"/>
          <w:lang w:val="uk-UA"/>
        </w:rPr>
        <w:tab/>
      </w:r>
      <w:r w:rsidRPr="00A83F6C">
        <w:rPr>
          <w:rFonts w:ascii="Arial" w:hAnsi="Arial" w:cs="Arial"/>
          <w:noProof/>
          <w:color w:val="000000" w:themeColor="text1"/>
          <w:sz w:val="22"/>
          <w:szCs w:val="22"/>
          <w:lang w:val="uk-UA"/>
        </w:rPr>
        <w:tab/>
      </w:r>
      <w:r w:rsidRPr="00A83F6C">
        <w:rPr>
          <w:rFonts w:ascii="Arial" w:hAnsi="Arial" w:cs="Arial"/>
          <w:noProof/>
          <w:color w:val="000000" w:themeColor="text1"/>
          <w:sz w:val="22"/>
          <w:szCs w:val="22"/>
          <w:lang w:val="uk-UA"/>
        </w:rPr>
        <w:tab/>
      </w:r>
      <w:r w:rsidRPr="00A83F6C">
        <w:rPr>
          <w:rFonts w:ascii="Arial" w:hAnsi="Arial" w:cs="Arial"/>
          <w:noProof/>
          <w:color w:val="000000" w:themeColor="text1"/>
          <w:sz w:val="22"/>
          <w:szCs w:val="22"/>
          <w:lang w:val="uk-UA"/>
        </w:rPr>
        <w:tab/>
      </w:r>
      <w:r w:rsidRPr="00E504A3">
        <w:rPr>
          <w:rFonts w:ascii="Arial" w:hAnsi="Arial" w:cs="Arial"/>
          <w:strike/>
          <w:noProof/>
          <w:color w:val="000000" w:themeColor="text1"/>
          <w:sz w:val="22"/>
          <w:szCs w:val="22"/>
          <w:lang w:val="uk-UA"/>
        </w:rPr>
        <w:t xml:space="preserve"> </w:t>
      </w:r>
      <w:r w:rsidR="00695FA5" w:rsidRPr="00E504A3">
        <w:rPr>
          <w:rFonts w:ascii="Arial" w:hAnsi="Arial" w:cs="Arial"/>
          <w:strike/>
          <w:noProof/>
          <w:color w:val="000000" w:themeColor="text1"/>
          <w:sz w:val="22"/>
          <w:szCs w:val="22"/>
          <w:lang w:val="uk-UA"/>
        </w:rPr>
        <w:t>м. Київ</w:t>
      </w:r>
    </w:p>
    <w:tbl>
      <w:tblPr>
        <w:tblW w:w="16375" w:type="dxa"/>
        <w:jc w:val="center"/>
        <w:tblCellSpacing w:w="30" w:type="dxa"/>
        <w:tblCellMar>
          <w:top w:w="15" w:type="dxa"/>
          <w:left w:w="15" w:type="dxa"/>
          <w:bottom w:w="15" w:type="dxa"/>
          <w:right w:w="15" w:type="dxa"/>
        </w:tblCellMar>
        <w:tblLook w:val="04A0" w:firstRow="1" w:lastRow="0" w:firstColumn="1" w:lastColumn="0" w:noHBand="0" w:noVBand="1"/>
      </w:tblPr>
      <w:tblGrid>
        <w:gridCol w:w="13759"/>
        <w:gridCol w:w="2616"/>
      </w:tblGrid>
      <w:tr w:rsidR="00BF07C6" w:rsidRPr="00A83F6C" w14:paraId="4C1900C0" w14:textId="77777777" w:rsidTr="00BF07C6">
        <w:trPr>
          <w:tblCellSpacing w:w="30" w:type="dxa"/>
          <w:jc w:val="center"/>
        </w:trPr>
        <w:tc>
          <w:tcPr>
            <w:tcW w:w="2835" w:type="pct"/>
            <w:hideMark/>
          </w:tcPr>
          <w:p w14:paraId="3921DFE3" w14:textId="77777777" w:rsidR="00BF07C6" w:rsidRPr="00A83F6C" w:rsidRDefault="00BF07C6" w:rsidP="00041452">
            <w:pPr>
              <w:spacing w:after="120"/>
              <w:ind w:left="709" w:right="89" w:hanging="708"/>
              <w:rPr>
                <w:rFonts w:ascii="Arial" w:hAnsi="Arial" w:cs="Arial"/>
                <w:noProof/>
                <w:color w:val="000000" w:themeColor="text1"/>
                <w:sz w:val="22"/>
                <w:szCs w:val="22"/>
                <w:lang w:val="uk-UA"/>
              </w:rPr>
            </w:pPr>
            <w:bookmarkStart w:id="3" w:name="290"/>
            <w:bookmarkEnd w:id="3"/>
          </w:p>
          <w:tbl>
            <w:tblPr>
              <w:tblStyle w:val="TableGrid"/>
              <w:tblW w:w="10012" w:type="dxa"/>
              <w:tblInd w:w="3617" w:type="dxa"/>
              <w:tblLook w:val="04A0" w:firstRow="1" w:lastRow="0" w:firstColumn="1" w:lastColumn="0" w:noHBand="0" w:noVBand="1"/>
            </w:tblPr>
            <w:tblGrid>
              <w:gridCol w:w="552"/>
              <w:gridCol w:w="1910"/>
              <w:gridCol w:w="1643"/>
              <w:gridCol w:w="1714"/>
              <w:gridCol w:w="3052"/>
              <w:gridCol w:w="1141"/>
            </w:tblGrid>
            <w:tr w:rsidR="00041452" w:rsidRPr="00A83F6C" w14:paraId="37127741" w14:textId="77777777" w:rsidTr="00041452">
              <w:trPr>
                <w:trHeight w:val="319"/>
              </w:trPr>
              <w:tc>
                <w:tcPr>
                  <w:tcW w:w="552" w:type="dxa"/>
                </w:tcPr>
                <w:p w14:paraId="6396D35E" w14:textId="77777777" w:rsidR="00BF07C6" w:rsidRPr="00A83F6C" w:rsidRDefault="00BF07C6" w:rsidP="00041452">
                  <w:pPr>
                    <w:spacing w:after="120"/>
                    <w:ind w:left="709" w:right="89" w:hanging="708"/>
                    <w:rPr>
                      <w:rFonts w:ascii="Arial" w:hAnsi="Arial" w:cs="Arial"/>
                      <w:b/>
                      <w:bCs/>
                      <w:noProof/>
                      <w:color w:val="000000" w:themeColor="text1"/>
                      <w:sz w:val="22"/>
                      <w:szCs w:val="22"/>
                      <w:lang w:val="uk-UA"/>
                    </w:rPr>
                  </w:pPr>
                  <w:r w:rsidRPr="00A83F6C">
                    <w:rPr>
                      <w:rFonts w:ascii="Arial" w:hAnsi="Arial" w:cs="Arial"/>
                      <w:b/>
                      <w:bCs/>
                      <w:noProof/>
                      <w:color w:val="000000" w:themeColor="text1"/>
                      <w:sz w:val="22"/>
                      <w:szCs w:val="22"/>
                      <w:lang w:val="uk-UA"/>
                    </w:rPr>
                    <w:t>№</w:t>
                  </w:r>
                </w:p>
              </w:tc>
              <w:tc>
                <w:tcPr>
                  <w:tcW w:w="1910" w:type="dxa"/>
                </w:tcPr>
                <w:p w14:paraId="2C379710" w14:textId="1C8ADF9C" w:rsidR="00BF07C6" w:rsidRPr="00A83F6C" w:rsidRDefault="00BF07C6" w:rsidP="00041452">
                  <w:pPr>
                    <w:spacing w:after="120"/>
                    <w:ind w:left="87" w:right="89"/>
                    <w:rPr>
                      <w:rFonts w:ascii="Arial" w:hAnsi="Arial" w:cs="Arial"/>
                      <w:noProof/>
                      <w:color w:val="000000" w:themeColor="text1"/>
                      <w:sz w:val="22"/>
                      <w:szCs w:val="22"/>
                      <w:lang w:val="uk-UA"/>
                    </w:rPr>
                  </w:pPr>
                  <w:r w:rsidRPr="00A83F6C">
                    <w:rPr>
                      <w:rFonts w:ascii="Arial" w:hAnsi="Arial" w:cs="Arial"/>
                      <w:b/>
                      <w:bCs/>
                      <w:noProof/>
                      <w:color w:val="000000" w:themeColor="text1"/>
                      <w:sz w:val="22"/>
                      <w:szCs w:val="22"/>
                      <w:lang w:val="uk-UA"/>
                    </w:rPr>
                    <w:t xml:space="preserve">ПІП </w:t>
                  </w:r>
                  <w:r w:rsidR="004A2BFF" w:rsidRPr="00A83F6C">
                    <w:rPr>
                      <w:rFonts w:ascii="Arial" w:hAnsi="Arial" w:cs="Arial"/>
                      <w:b/>
                      <w:bCs/>
                      <w:noProof/>
                      <w:color w:val="000000" w:themeColor="text1"/>
                      <w:sz w:val="22"/>
                      <w:szCs w:val="22"/>
                      <w:lang w:val="uk-UA"/>
                    </w:rPr>
                    <w:t xml:space="preserve">(для фізичних осіб) </w:t>
                  </w:r>
                  <w:r w:rsidRPr="00A83F6C">
                    <w:rPr>
                      <w:rFonts w:ascii="Arial" w:hAnsi="Arial" w:cs="Arial"/>
                      <w:b/>
                      <w:bCs/>
                      <w:noProof/>
                      <w:color w:val="000000" w:themeColor="text1"/>
                      <w:sz w:val="22"/>
                      <w:szCs w:val="22"/>
                      <w:lang w:val="uk-UA"/>
                    </w:rPr>
                    <w:t xml:space="preserve">або </w:t>
                  </w:r>
                  <w:r w:rsidR="004A2BFF" w:rsidRPr="00A83F6C">
                    <w:rPr>
                      <w:rFonts w:ascii="Arial" w:hAnsi="Arial" w:cs="Arial"/>
                      <w:b/>
                      <w:bCs/>
                      <w:noProof/>
                      <w:color w:val="000000" w:themeColor="text1"/>
                      <w:sz w:val="22"/>
                      <w:szCs w:val="22"/>
                      <w:lang w:val="uk-UA"/>
                    </w:rPr>
                    <w:t xml:space="preserve">ПІП представника і </w:t>
                  </w:r>
                  <w:r w:rsidRPr="00A83F6C">
                    <w:rPr>
                      <w:rFonts w:ascii="Arial" w:hAnsi="Arial" w:cs="Arial"/>
                      <w:b/>
                      <w:bCs/>
                      <w:noProof/>
                      <w:color w:val="000000" w:themeColor="text1"/>
                      <w:sz w:val="22"/>
                      <w:szCs w:val="22"/>
                      <w:lang w:val="uk-UA"/>
                    </w:rPr>
                    <w:t>назва</w:t>
                  </w:r>
                  <w:r w:rsidR="004A2BFF" w:rsidRPr="00A83F6C">
                    <w:rPr>
                      <w:rFonts w:ascii="Arial" w:hAnsi="Arial" w:cs="Arial"/>
                      <w:b/>
                      <w:bCs/>
                      <w:noProof/>
                      <w:color w:val="000000" w:themeColor="text1"/>
                      <w:sz w:val="22"/>
                      <w:szCs w:val="22"/>
                      <w:lang w:val="uk-UA"/>
                    </w:rPr>
                    <w:t xml:space="preserve"> (для юридичних осіб)</w:t>
                  </w:r>
                </w:p>
              </w:tc>
              <w:tc>
                <w:tcPr>
                  <w:tcW w:w="1643" w:type="dxa"/>
                </w:tcPr>
                <w:p w14:paraId="16B11A13" w14:textId="77777777" w:rsidR="004A2BFF" w:rsidRPr="00A83F6C" w:rsidRDefault="00BF07C6" w:rsidP="00041452">
                  <w:pPr>
                    <w:spacing w:after="120"/>
                    <w:ind w:left="709" w:right="89" w:hanging="708"/>
                    <w:rPr>
                      <w:rFonts w:ascii="Arial" w:hAnsi="Arial" w:cs="Arial"/>
                      <w:b/>
                      <w:bCs/>
                      <w:noProof/>
                      <w:color w:val="000000" w:themeColor="text1"/>
                      <w:sz w:val="22"/>
                      <w:szCs w:val="22"/>
                      <w:lang w:val="uk-UA"/>
                    </w:rPr>
                  </w:pPr>
                  <w:r w:rsidRPr="00A83F6C">
                    <w:rPr>
                      <w:rFonts w:ascii="Arial" w:hAnsi="Arial" w:cs="Arial"/>
                      <w:b/>
                      <w:bCs/>
                      <w:noProof/>
                      <w:color w:val="000000" w:themeColor="text1"/>
                      <w:sz w:val="22"/>
                      <w:szCs w:val="22"/>
                      <w:lang w:val="uk-UA"/>
                    </w:rPr>
                    <w:t xml:space="preserve">Рік </w:t>
                  </w:r>
                </w:p>
                <w:p w14:paraId="6BAB1973" w14:textId="2341F96F" w:rsidR="00BF07C6" w:rsidRPr="00A83F6C" w:rsidRDefault="00BF07C6" w:rsidP="00041452">
                  <w:pPr>
                    <w:spacing w:after="120"/>
                    <w:ind w:left="709" w:right="89" w:hanging="708"/>
                    <w:rPr>
                      <w:rFonts w:ascii="Arial" w:hAnsi="Arial" w:cs="Arial"/>
                      <w:noProof/>
                      <w:color w:val="000000" w:themeColor="text1"/>
                      <w:sz w:val="22"/>
                      <w:szCs w:val="22"/>
                      <w:lang w:val="uk-UA"/>
                    </w:rPr>
                  </w:pPr>
                  <w:r w:rsidRPr="00A83F6C">
                    <w:rPr>
                      <w:rFonts w:ascii="Arial" w:hAnsi="Arial" w:cs="Arial"/>
                      <w:b/>
                      <w:bCs/>
                      <w:noProof/>
                      <w:color w:val="000000" w:themeColor="text1"/>
                      <w:sz w:val="22"/>
                      <w:szCs w:val="22"/>
                      <w:lang w:val="uk-UA"/>
                    </w:rPr>
                    <w:t>народження</w:t>
                  </w:r>
                </w:p>
              </w:tc>
              <w:tc>
                <w:tcPr>
                  <w:tcW w:w="1714" w:type="dxa"/>
                </w:tcPr>
                <w:p w14:paraId="1DFC4C69" w14:textId="77777777" w:rsidR="00BF07C6" w:rsidRPr="00A83F6C" w:rsidRDefault="00BF07C6" w:rsidP="00041452">
                  <w:pPr>
                    <w:spacing w:after="120"/>
                    <w:ind w:left="457" w:right="89" w:hanging="425"/>
                    <w:rPr>
                      <w:rFonts w:ascii="Arial" w:hAnsi="Arial" w:cs="Arial"/>
                      <w:noProof/>
                      <w:color w:val="000000" w:themeColor="text1"/>
                      <w:sz w:val="22"/>
                      <w:szCs w:val="22"/>
                      <w:lang w:val="uk-UA"/>
                    </w:rPr>
                  </w:pPr>
                  <w:r w:rsidRPr="00A83F6C">
                    <w:rPr>
                      <w:rFonts w:ascii="Arial" w:hAnsi="Arial" w:cs="Arial"/>
                      <w:b/>
                      <w:bCs/>
                      <w:noProof/>
                      <w:color w:val="000000" w:themeColor="text1"/>
                      <w:sz w:val="22"/>
                      <w:szCs w:val="22"/>
                      <w:lang w:val="uk-UA"/>
                    </w:rPr>
                    <w:t>Контактний телефон</w:t>
                  </w:r>
                </w:p>
              </w:tc>
              <w:tc>
                <w:tcPr>
                  <w:tcW w:w="3052" w:type="dxa"/>
                </w:tcPr>
                <w:p w14:paraId="343CF55C" w14:textId="1A0593A0" w:rsidR="00BF07C6" w:rsidRPr="00A83F6C" w:rsidRDefault="004A2BFF" w:rsidP="00041452">
                  <w:pPr>
                    <w:spacing w:after="120"/>
                    <w:ind w:left="142" w:right="89"/>
                    <w:rPr>
                      <w:rFonts w:ascii="Arial" w:hAnsi="Arial" w:cs="Arial"/>
                      <w:noProof/>
                      <w:color w:val="000000" w:themeColor="text1"/>
                      <w:sz w:val="22"/>
                      <w:szCs w:val="22"/>
                      <w:lang w:val="uk-UA"/>
                    </w:rPr>
                  </w:pPr>
                  <w:r w:rsidRPr="00A83F6C">
                    <w:rPr>
                      <w:rFonts w:ascii="Arial" w:hAnsi="Arial" w:cs="Arial"/>
                      <w:b/>
                      <w:bCs/>
                      <w:noProof/>
                      <w:color w:val="000000" w:themeColor="text1"/>
                      <w:sz w:val="22"/>
                      <w:szCs w:val="22"/>
                      <w:lang w:val="uk-UA"/>
                    </w:rPr>
                    <w:t xml:space="preserve">Адреса реєстрації або фактична адреса проживання (для фізичних осіб) або </w:t>
                  </w:r>
                  <w:r w:rsidR="00C60FCC" w:rsidRPr="00A83F6C">
                    <w:rPr>
                      <w:rFonts w:ascii="Arial" w:hAnsi="Arial" w:cs="Arial"/>
                      <w:b/>
                      <w:bCs/>
                      <w:noProof/>
                      <w:color w:val="000000" w:themeColor="text1"/>
                      <w:sz w:val="22"/>
                      <w:szCs w:val="22"/>
                      <w:lang w:val="uk-UA"/>
                    </w:rPr>
                    <w:t xml:space="preserve">адреса місцезнаходження (для юридичних осіб) </w:t>
                  </w:r>
                </w:p>
              </w:tc>
              <w:tc>
                <w:tcPr>
                  <w:tcW w:w="1141" w:type="dxa"/>
                </w:tcPr>
                <w:p w14:paraId="219DA011" w14:textId="77777777" w:rsidR="00BF07C6" w:rsidRPr="00A83F6C" w:rsidRDefault="00BF07C6" w:rsidP="00041452">
                  <w:pPr>
                    <w:spacing w:after="120"/>
                    <w:ind w:left="709" w:right="89" w:hanging="708"/>
                    <w:rPr>
                      <w:rFonts w:ascii="Arial" w:hAnsi="Arial" w:cs="Arial"/>
                      <w:noProof/>
                      <w:color w:val="000000" w:themeColor="text1"/>
                      <w:sz w:val="22"/>
                      <w:szCs w:val="22"/>
                      <w:lang w:val="uk-UA"/>
                    </w:rPr>
                  </w:pPr>
                  <w:r w:rsidRPr="00A83F6C">
                    <w:rPr>
                      <w:rFonts w:ascii="Arial" w:hAnsi="Arial" w:cs="Arial"/>
                      <w:b/>
                      <w:bCs/>
                      <w:noProof/>
                      <w:color w:val="000000" w:themeColor="text1"/>
                      <w:sz w:val="22"/>
                      <w:szCs w:val="22"/>
                      <w:lang w:val="uk-UA"/>
                    </w:rPr>
                    <w:t>Підпис*</w:t>
                  </w:r>
                </w:p>
              </w:tc>
            </w:tr>
            <w:tr w:rsidR="00041452" w:rsidRPr="00A83F6C" w14:paraId="6A530FF9" w14:textId="77777777" w:rsidTr="00041452">
              <w:trPr>
                <w:trHeight w:val="319"/>
              </w:trPr>
              <w:tc>
                <w:tcPr>
                  <w:tcW w:w="552" w:type="dxa"/>
                </w:tcPr>
                <w:p w14:paraId="5A75D29A" w14:textId="77777777" w:rsidR="00BF07C6" w:rsidRPr="00A83F6C" w:rsidRDefault="00BF07C6" w:rsidP="00041452">
                  <w:pPr>
                    <w:spacing w:after="120"/>
                    <w:ind w:left="709" w:right="89" w:hanging="708"/>
                    <w:rPr>
                      <w:rFonts w:ascii="Arial" w:hAnsi="Arial" w:cs="Arial"/>
                      <w:noProof/>
                      <w:color w:val="000000" w:themeColor="text1"/>
                      <w:sz w:val="22"/>
                      <w:szCs w:val="22"/>
                      <w:lang w:val="uk-UA"/>
                    </w:rPr>
                  </w:pPr>
                </w:p>
              </w:tc>
              <w:tc>
                <w:tcPr>
                  <w:tcW w:w="1910" w:type="dxa"/>
                </w:tcPr>
                <w:p w14:paraId="751D3D8D" w14:textId="77777777" w:rsidR="00BF07C6" w:rsidRPr="00A83F6C" w:rsidRDefault="00BF07C6" w:rsidP="00041452">
                  <w:pPr>
                    <w:spacing w:after="120"/>
                    <w:ind w:left="709" w:right="89" w:hanging="708"/>
                    <w:rPr>
                      <w:rFonts w:ascii="Arial" w:hAnsi="Arial" w:cs="Arial"/>
                      <w:noProof/>
                      <w:color w:val="000000" w:themeColor="text1"/>
                      <w:sz w:val="22"/>
                      <w:szCs w:val="22"/>
                      <w:lang w:val="uk-UA"/>
                    </w:rPr>
                  </w:pPr>
                </w:p>
              </w:tc>
              <w:tc>
                <w:tcPr>
                  <w:tcW w:w="1643" w:type="dxa"/>
                </w:tcPr>
                <w:p w14:paraId="7DCF41BB" w14:textId="77777777" w:rsidR="00BF07C6" w:rsidRPr="00A83F6C" w:rsidRDefault="00BF07C6" w:rsidP="00041452">
                  <w:pPr>
                    <w:spacing w:after="120"/>
                    <w:ind w:left="709" w:right="89" w:hanging="708"/>
                    <w:rPr>
                      <w:rFonts w:ascii="Arial" w:hAnsi="Arial" w:cs="Arial"/>
                      <w:noProof/>
                      <w:color w:val="000000" w:themeColor="text1"/>
                      <w:sz w:val="22"/>
                      <w:szCs w:val="22"/>
                      <w:lang w:val="uk-UA"/>
                    </w:rPr>
                  </w:pPr>
                </w:p>
              </w:tc>
              <w:tc>
                <w:tcPr>
                  <w:tcW w:w="1714" w:type="dxa"/>
                </w:tcPr>
                <w:p w14:paraId="13199859" w14:textId="77777777" w:rsidR="00BF07C6" w:rsidRPr="00A83F6C" w:rsidRDefault="00BF07C6" w:rsidP="00041452">
                  <w:pPr>
                    <w:spacing w:after="120"/>
                    <w:ind w:left="709" w:right="89" w:hanging="708"/>
                    <w:rPr>
                      <w:rFonts w:ascii="Arial" w:hAnsi="Arial" w:cs="Arial"/>
                      <w:noProof/>
                      <w:color w:val="000000" w:themeColor="text1"/>
                      <w:sz w:val="22"/>
                      <w:szCs w:val="22"/>
                      <w:lang w:val="uk-UA"/>
                    </w:rPr>
                  </w:pPr>
                </w:p>
              </w:tc>
              <w:tc>
                <w:tcPr>
                  <w:tcW w:w="3052" w:type="dxa"/>
                </w:tcPr>
                <w:p w14:paraId="57F65A15" w14:textId="77777777" w:rsidR="00BF07C6" w:rsidRPr="00A83F6C" w:rsidRDefault="00BF07C6" w:rsidP="00041452">
                  <w:pPr>
                    <w:spacing w:after="120"/>
                    <w:ind w:left="709" w:right="89" w:hanging="708"/>
                    <w:rPr>
                      <w:rFonts w:ascii="Arial" w:hAnsi="Arial" w:cs="Arial"/>
                      <w:noProof/>
                      <w:color w:val="000000" w:themeColor="text1"/>
                      <w:sz w:val="22"/>
                      <w:szCs w:val="22"/>
                      <w:lang w:val="uk-UA"/>
                    </w:rPr>
                  </w:pPr>
                </w:p>
              </w:tc>
              <w:tc>
                <w:tcPr>
                  <w:tcW w:w="1141" w:type="dxa"/>
                </w:tcPr>
                <w:p w14:paraId="20EAC9F9" w14:textId="77777777" w:rsidR="00BF07C6" w:rsidRPr="00A83F6C" w:rsidRDefault="00BF07C6" w:rsidP="00041452">
                  <w:pPr>
                    <w:spacing w:after="120"/>
                    <w:ind w:left="709" w:right="89" w:hanging="708"/>
                    <w:rPr>
                      <w:rFonts w:ascii="Arial" w:hAnsi="Arial" w:cs="Arial"/>
                      <w:noProof/>
                      <w:color w:val="000000" w:themeColor="text1"/>
                      <w:sz w:val="22"/>
                      <w:szCs w:val="22"/>
                      <w:lang w:val="uk-UA"/>
                    </w:rPr>
                  </w:pPr>
                </w:p>
              </w:tc>
            </w:tr>
            <w:tr w:rsidR="00041452" w:rsidRPr="00A83F6C" w14:paraId="075BC931" w14:textId="77777777" w:rsidTr="00041452">
              <w:trPr>
                <w:trHeight w:val="319"/>
              </w:trPr>
              <w:tc>
                <w:tcPr>
                  <w:tcW w:w="552" w:type="dxa"/>
                </w:tcPr>
                <w:p w14:paraId="0F98BE58" w14:textId="77777777" w:rsidR="00BF07C6" w:rsidRPr="00A83F6C" w:rsidRDefault="00BF07C6" w:rsidP="00041452">
                  <w:pPr>
                    <w:spacing w:after="120"/>
                    <w:ind w:left="709" w:right="89" w:hanging="708"/>
                    <w:rPr>
                      <w:rFonts w:ascii="Arial" w:hAnsi="Arial" w:cs="Arial"/>
                      <w:noProof/>
                      <w:color w:val="000000" w:themeColor="text1"/>
                      <w:sz w:val="22"/>
                      <w:szCs w:val="22"/>
                      <w:lang w:val="uk-UA"/>
                    </w:rPr>
                  </w:pPr>
                </w:p>
              </w:tc>
              <w:tc>
                <w:tcPr>
                  <w:tcW w:w="1910" w:type="dxa"/>
                </w:tcPr>
                <w:p w14:paraId="71CAE53F" w14:textId="77777777" w:rsidR="00BF07C6" w:rsidRPr="00A83F6C" w:rsidRDefault="00BF07C6" w:rsidP="00041452">
                  <w:pPr>
                    <w:spacing w:after="120"/>
                    <w:ind w:left="709" w:right="89" w:hanging="708"/>
                    <w:rPr>
                      <w:rFonts w:ascii="Arial" w:hAnsi="Arial" w:cs="Arial"/>
                      <w:noProof/>
                      <w:color w:val="000000" w:themeColor="text1"/>
                      <w:sz w:val="22"/>
                      <w:szCs w:val="22"/>
                      <w:lang w:val="uk-UA"/>
                    </w:rPr>
                  </w:pPr>
                </w:p>
              </w:tc>
              <w:tc>
                <w:tcPr>
                  <w:tcW w:w="1643" w:type="dxa"/>
                </w:tcPr>
                <w:p w14:paraId="0FC99355" w14:textId="77777777" w:rsidR="00BF07C6" w:rsidRPr="00A83F6C" w:rsidRDefault="00BF07C6" w:rsidP="00041452">
                  <w:pPr>
                    <w:spacing w:after="120"/>
                    <w:ind w:left="709" w:right="89" w:hanging="708"/>
                    <w:rPr>
                      <w:rFonts w:ascii="Arial" w:hAnsi="Arial" w:cs="Arial"/>
                      <w:noProof/>
                      <w:color w:val="000000" w:themeColor="text1"/>
                      <w:sz w:val="22"/>
                      <w:szCs w:val="22"/>
                      <w:lang w:val="uk-UA"/>
                    </w:rPr>
                  </w:pPr>
                </w:p>
              </w:tc>
              <w:tc>
                <w:tcPr>
                  <w:tcW w:w="1714" w:type="dxa"/>
                </w:tcPr>
                <w:p w14:paraId="4325D7A8" w14:textId="77777777" w:rsidR="00BF07C6" w:rsidRPr="00A83F6C" w:rsidRDefault="00BF07C6" w:rsidP="00041452">
                  <w:pPr>
                    <w:spacing w:after="120"/>
                    <w:ind w:left="709" w:right="89" w:hanging="708"/>
                    <w:rPr>
                      <w:rFonts w:ascii="Arial" w:hAnsi="Arial" w:cs="Arial"/>
                      <w:noProof/>
                      <w:color w:val="000000" w:themeColor="text1"/>
                      <w:sz w:val="22"/>
                      <w:szCs w:val="22"/>
                      <w:lang w:val="uk-UA"/>
                    </w:rPr>
                  </w:pPr>
                </w:p>
              </w:tc>
              <w:tc>
                <w:tcPr>
                  <w:tcW w:w="3052" w:type="dxa"/>
                </w:tcPr>
                <w:p w14:paraId="1DCF0F37" w14:textId="77777777" w:rsidR="00BF07C6" w:rsidRPr="00A83F6C" w:rsidRDefault="00BF07C6" w:rsidP="00041452">
                  <w:pPr>
                    <w:spacing w:after="120"/>
                    <w:ind w:left="709" w:right="89" w:hanging="708"/>
                    <w:rPr>
                      <w:rFonts w:ascii="Arial" w:hAnsi="Arial" w:cs="Arial"/>
                      <w:noProof/>
                      <w:color w:val="000000" w:themeColor="text1"/>
                      <w:sz w:val="22"/>
                      <w:szCs w:val="22"/>
                      <w:lang w:val="uk-UA"/>
                    </w:rPr>
                  </w:pPr>
                </w:p>
              </w:tc>
              <w:tc>
                <w:tcPr>
                  <w:tcW w:w="1141" w:type="dxa"/>
                </w:tcPr>
                <w:p w14:paraId="2B8779E3" w14:textId="77777777" w:rsidR="00BF07C6" w:rsidRPr="00A83F6C" w:rsidRDefault="00BF07C6" w:rsidP="00041452">
                  <w:pPr>
                    <w:spacing w:after="120"/>
                    <w:ind w:left="709" w:right="89" w:hanging="708"/>
                    <w:rPr>
                      <w:rFonts w:ascii="Arial" w:hAnsi="Arial" w:cs="Arial"/>
                      <w:noProof/>
                      <w:color w:val="000000" w:themeColor="text1"/>
                      <w:sz w:val="22"/>
                      <w:szCs w:val="22"/>
                      <w:lang w:val="uk-UA"/>
                    </w:rPr>
                  </w:pPr>
                </w:p>
              </w:tc>
            </w:tr>
          </w:tbl>
          <w:p w14:paraId="67421A77" w14:textId="77777777" w:rsidR="00BF07C6" w:rsidRPr="00A83F6C" w:rsidRDefault="00BF07C6" w:rsidP="00041452">
            <w:pPr>
              <w:spacing w:after="120"/>
              <w:ind w:left="709" w:right="89" w:hanging="708"/>
              <w:rPr>
                <w:rFonts w:ascii="Arial" w:hAnsi="Arial" w:cs="Arial"/>
                <w:noProof/>
                <w:color w:val="000000" w:themeColor="text1"/>
                <w:sz w:val="22"/>
                <w:szCs w:val="22"/>
                <w:lang w:val="uk-UA"/>
              </w:rPr>
            </w:pPr>
          </w:p>
        </w:tc>
        <w:tc>
          <w:tcPr>
            <w:tcW w:w="2110" w:type="pct"/>
            <w:hideMark/>
          </w:tcPr>
          <w:p w14:paraId="6DFE33E0" w14:textId="2F494734" w:rsidR="00BF07C6" w:rsidRPr="00A83F6C" w:rsidRDefault="00BF07C6" w:rsidP="00041452">
            <w:pPr>
              <w:spacing w:after="120"/>
              <w:ind w:left="709" w:right="89" w:hanging="708"/>
              <w:jc w:val="right"/>
              <w:rPr>
                <w:rFonts w:ascii="Arial" w:hAnsi="Arial" w:cs="Arial"/>
                <w:noProof/>
                <w:color w:val="000000" w:themeColor="text1"/>
                <w:sz w:val="22"/>
                <w:szCs w:val="22"/>
                <w:lang w:val="uk-UA"/>
              </w:rPr>
            </w:pPr>
            <w:bookmarkStart w:id="4" w:name="291"/>
            <w:bookmarkEnd w:id="4"/>
          </w:p>
        </w:tc>
      </w:tr>
    </w:tbl>
    <w:p w14:paraId="763EA0A3" w14:textId="77777777" w:rsidR="00BF07C6" w:rsidRPr="00A83F6C" w:rsidRDefault="00BF07C6" w:rsidP="00041452">
      <w:pPr>
        <w:spacing w:after="120"/>
        <w:ind w:left="709" w:right="89" w:hanging="708"/>
        <w:rPr>
          <w:rFonts w:ascii="Arial" w:eastAsia="Times New Roman" w:hAnsi="Arial" w:cs="Arial"/>
          <w:noProof/>
          <w:color w:val="000000" w:themeColor="text1"/>
          <w:sz w:val="22"/>
          <w:szCs w:val="22"/>
          <w:lang w:val="uk-UA"/>
        </w:rPr>
      </w:pPr>
    </w:p>
    <w:p w14:paraId="5BA573B7" w14:textId="77777777" w:rsidR="00BF07C6" w:rsidRPr="00A83F6C" w:rsidRDefault="00BF07C6" w:rsidP="00041452">
      <w:pPr>
        <w:spacing w:after="120"/>
        <w:ind w:left="709" w:right="89" w:hanging="708"/>
        <w:rPr>
          <w:rFonts w:ascii="Arial" w:eastAsia="Times New Roman" w:hAnsi="Arial" w:cs="Arial"/>
          <w:noProof/>
          <w:color w:val="000000" w:themeColor="text1"/>
          <w:sz w:val="22"/>
          <w:szCs w:val="22"/>
          <w:lang w:val="uk-UA"/>
        </w:rPr>
      </w:pPr>
    </w:p>
    <w:p w14:paraId="75551FE6" w14:textId="451097C7" w:rsidR="00BF07C6" w:rsidRPr="00A83F6C" w:rsidRDefault="00BF07C6" w:rsidP="00041452">
      <w:pPr>
        <w:rPr>
          <w:rFonts w:ascii="Arial" w:hAnsi="Arial" w:cs="Arial"/>
          <w:noProof/>
          <w:sz w:val="22"/>
          <w:szCs w:val="22"/>
          <w:lang w:val="uk-UA"/>
        </w:rPr>
      </w:pPr>
      <w:r w:rsidRPr="00A83F6C">
        <w:rPr>
          <w:rFonts w:ascii="Arial" w:hAnsi="Arial" w:cs="Arial"/>
          <w:noProof/>
          <w:sz w:val="22"/>
          <w:szCs w:val="22"/>
          <w:lang w:val="uk-UA"/>
        </w:rPr>
        <w:t>Го</w:t>
      </w:r>
      <w:r w:rsidR="005379F8">
        <w:rPr>
          <w:rFonts w:ascii="Arial" w:hAnsi="Arial" w:cs="Arial"/>
          <w:noProof/>
          <w:sz w:val="22"/>
          <w:szCs w:val="22"/>
          <w:lang w:val="uk-UA"/>
        </w:rPr>
        <w:t>ловуючий</w:t>
      </w:r>
      <w:r w:rsidR="005379F8">
        <w:rPr>
          <w:rFonts w:ascii="Arial" w:hAnsi="Arial" w:cs="Arial"/>
          <w:noProof/>
          <w:sz w:val="22"/>
          <w:szCs w:val="22"/>
          <w:lang w:val="uk-UA"/>
        </w:rPr>
        <w:tab/>
        <w:t xml:space="preserve"> </w:t>
      </w:r>
      <w:r w:rsidR="005379F8">
        <w:rPr>
          <w:rFonts w:ascii="Arial" w:hAnsi="Arial" w:cs="Arial"/>
          <w:noProof/>
          <w:sz w:val="22"/>
          <w:szCs w:val="22"/>
          <w:lang w:val="uk-UA"/>
        </w:rPr>
        <w:tab/>
        <w:t xml:space="preserve"> ________________ </w:t>
      </w:r>
      <w:r w:rsidR="005379F8">
        <w:rPr>
          <w:rFonts w:ascii="Arial" w:hAnsi="Arial" w:cs="Arial"/>
          <w:noProof/>
          <w:sz w:val="22"/>
          <w:szCs w:val="22"/>
          <w:lang w:val="uk-UA"/>
        </w:rPr>
        <w:tab/>
      </w:r>
      <w:r w:rsidR="005379F8">
        <w:rPr>
          <w:rFonts w:ascii="Arial" w:hAnsi="Arial" w:cs="Arial"/>
          <w:noProof/>
          <w:sz w:val="22"/>
          <w:szCs w:val="22"/>
          <w:lang w:val="uk-UA"/>
        </w:rPr>
        <w:tab/>
      </w:r>
      <w:r w:rsidRPr="00A83F6C">
        <w:rPr>
          <w:rFonts w:ascii="Arial" w:hAnsi="Arial" w:cs="Arial"/>
          <w:noProof/>
          <w:sz w:val="22"/>
          <w:szCs w:val="22"/>
          <w:lang w:val="uk-UA"/>
        </w:rPr>
        <w:tab/>
        <w:t>_____________________</w:t>
      </w:r>
    </w:p>
    <w:p w14:paraId="5DB5B463" w14:textId="7137598C" w:rsidR="00BF07C6" w:rsidRPr="00A83F6C" w:rsidRDefault="00BF07C6" w:rsidP="00041452">
      <w:pPr>
        <w:ind w:left="2160" w:firstLine="720"/>
        <w:rPr>
          <w:rFonts w:ascii="Arial" w:hAnsi="Arial" w:cs="Arial"/>
          <w:noProof/>
          <w:sz w:val="22"/>
          <w:szCs w:val="22"/>
          <w:lang w:val="uk-UA"/>
        </w:rPr>
      </w:pPr>
      <w:r w:rsidRPr="00A83F6C">
        <w:rPr>
          <w:rFonts w:ascii="Arial" w:hAnsi="Arial" w:cs="Arial"/>
          <w:noProof/>
          <w:sz w:val="22"/>
          <w:szCs w:val="22"/>
          <w:lang w:val="uk-UA"/>
        </w:rPr>
        <w:t>Підпис*</w:t>
      </w:r>
      <w:r w:rsidR="005379F8">
        <w:rPr>
          <w:rFonts w:ascii="Arial" w:hAnsi="Arial" w:cs="Arial"/>
          <w:i/>
          <w:noProof/>
          <w:sz w:val="22"/>
          <w:szCs w:val="22"/>
          <w:lang w:val="uk-UA"/>
        </w:rPr>
        <w:tab/>
      </w:r>
      <w:r w:rsidR="005379F8">
        <w:rPr>
          <w:rFonts w:ascii="Arial" w:hAnsi="Arial" w:cs="Arial"/>
          <w:i/>
          <w:noProof/>
          <w:sz w:val="22"/>
          <w:szCs w:val="22"/>
          <w:lang w:val="uk-UA"/>
        </w:rPr>
        <w:tab/>
      </w:r>
      <w:r w:rsidR="005379F8">
        <w:rPr>
          <w:rFonts w:ascii="Arial" w:hAnsi="Arial" w:cs="Arial"/>
          <w:i/>
          <w:noProof/>
          <w:sz w:val="22"/>
          <w:szCs w:val="22"/>
          <w:lang w:val="uk-UA"/>
        </w:rPr>
        <w:tab/>
      </w:r>
      <w:r w:rsidRPr="00A83F6C">
        <w:rPr>
          <w:rFonts w:ascii="Arial" w:hAnsi="Arial" w:cs="Arial"/>
          <w:i/>
          <w:noProof/>
          <w:sz w:val="22"/>
          <w:szCs w:val="22"/>
          <w:lang w:val="uk-UA"/>
        </w:rPr>
        <w:tab/>
      </w:r>
      <w:r w:rsidRPr="00A83F6C">
        <w:rPr>
          <w:rFonts w:ascii="Arial" w:hAnsi="Arial" w:cs="Arial"/>
          <w:noProof/>
          <w:sz w:val="22"/>
          <w:szCs w:val="22"/>
          <w:lang w:val="uk-UA"/>
        </w:rPr>
        <w:t>Прізвище та ініціали</w:t>
      </w:r>
    </w:p>
    <w:p w14:paraId="1ED6214B" w14:textId="77777777" w:rsidR="00BF07C6" w:rsidRPr="00A83F6C" w:rsidRDefault="00BF07C6" w:rsidP="00041452">
      <w:pPr>
        <w:rPr>
          <w:rFonts w:ascii="Arial" w:hAnsi="Arial" w:cs="Arial"/>
          <w:noProof/>
          <w:sz w:val="22"/>
          <w:szCs w:val="22"/>
          <w:lang w:val="uk-UA"/>
        </w:rPr>
      </w:pPr>
    </w:p>
    <w:p w14:paraId="17C8003B" w14:textId="77777777" w:rsidR="00BF07C6" w:rsidRPr="00A83F6C" w:rsidRDefault="00BF07C6" w:rsidP="00041452">
      <w:pPr>
        <w:rPr>
          <w:rFonts w:ascii="Arial" w:hAnsi="Arial" w:cs="Arial"/>
          <w:noProof/>
          <w:sz w:val="22"/>
          <w:szCs w:val="22"/>
          <w:lang w:val="uk-UA"/>
        </w:rPr>
      </w:pPr>
      <w:r w:rsidRPr="00A83F6C">
        <w:rPr>
          <w:rFonts w:ascii="Arial" w:hAnsi="Arial" w:cs="Arial"/>
          <w:noProof/>
          <w:sz w:val="22"/>
          <w:szCs w:val="22"/>
          <w:lang w:val="uk-UA"/>
        </w:rPr>
        <w:tab/>
      </w:r>
      <w:r w:rsidRPr="00A83F6C">
        <w:rPr>
          <w:rFonts w:ascii="Arial" w:hAnsi="Arial" w:cs="Arial"/>
          <w:noProof/>
          <w:sz w:val="22"/>
          <w:szCs w:val="22"/>
          <w:lang w:val="uk-UA"/>
        </w:rPr>
        <w:tab/>
      </w:r>
      <w:r w:rsidRPr="00A83F6C">
        <w:rPr>
          <w:rFonts w:ascii="Arial" w:hAnsi="Arial" w:cs="Arial"/>
          <w:noProof/>
          <w:sz w:val="22"/>
          <w:szCs w:val="22"/>
          <w:lang w:val="uk-UA"/>
        </w:rPr>
        <w:tab/>
      </w:r>
      <w:r w:rsidRPr="00A83F6C">
        <w:rPr>
          <w:rFonts w:ascii="Arial" w:hAnsi="Arial" w:cs="Arial"/>
          <w:noProof/>
          <w:sz w:val="22"/>
          <w:szCs w:val="22"/>
          <w:lang w:val="uk-UA"/>
        </w:rPr>
        <w:tab/>
      </w:r>
      <w:r w:rsidRPr="00A83F6C">
        <w:rPr>
          <w:rFonts w:ascii="Arial" w:hAnsi="Arial" w:cs="Arial"/>
          <w:noProof/>
          <w:sz w:val="22"/>
          <w:szCs w:val="22"/>
          <w:lang w:val="uk-UA"/>
        </w:rPr>
        <w:tab/>
      </w:r>
      <w:r w:rsidRPr="00A83F6C">
        <w:rPr>
          <w:rFonts w:ascii="Arial" w:hAnsi="Arial" w:cs="Arial"/>
          <w:noProof/>
          <w:sz w:val="22"/>
          <w:szCs w:val="22"/>
          <w:lang w:val="uk-UA"/>
        </w:rPr>
        <w:tab/>
        <w:t>М.П.</w:t>
      </w:r>
    </w:p>
    <w:p w14:paraId="6EBDA3EF" w14:textId="77777777" w:rsidR="00BF07C6" w:rsidRPr="00A83F6C" w:rsidRDefault="00BF07C6" w:rsidP="00041452">
      <w:pPr>
        <w:spacing w:after="120"/>
        <w:ind w:right="89"/>
        <w:rPr>
          <w:rFonts w:ascii="Arial" w:hAnsi="Arial" w:cs="Arial"/>
          <w:noProof/>
          <w:color w:val="000000" w:themeColor="text1"/>
          <w:sz w:val="22"/>
          <w:szCs w:val="22"/>
          <w:lang w:val="uk-UA"/>
        </w:rPr>
      </w:pPr>
    </w:p>
    <w:p w14:paraId="7C46F31E" w14:textId="77777777" w:rsidR="00BF07C6" w:rsidRPr="00A83F6C" w:rsidRDefault="00BF07C6" w:rsidP="00041452">
      <w:pPr>
        <w:spacing w:after="120"/>
        <w:ind w:left="709" w:right="89" w:hanging="708"/>
        <w:rPr>
          <w:rFonts w:ascii="Arial" w:hAnsi="Arial" w:cs="Arial"/>
          <w:noProof/>
          <w:color w:val="000000" w:themeColor="text1"/>
          <w:sz w:val="22"/>
          <w:szCs w:val="22"/>
          <w:lang w:val="uk-UA"/>
        </w:rPr>
      </w:pPr>
    </w:p>
    <w:p w14:paraId="48E9CA4C" w14:textId="77777777" w:rsidR="00BF07C6" w:rsidRPr="00A83F6C" w:rsidRDefault="00BF07C6" w:rsidP="00041452">
      <w:pPr>
        <w:spacing w:after="120"/>
        <w:ind w:left="709" w:right="89" w:hanging="708"/>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_____________</w:t>
      </w:r>
    </w:p>
    <w:p w14:paraId="4C029DF3" w14:textId="77777777" w:rsidR="00BF07C6" w:rsidRPr="00A83F6C" w:rsidRDefault="00BF07C6" w:rsidP="005379F8">
      <w:pPr>
        <w:spacing w:after="120"/>
        <w:ind w:left="709" w:right="89" w:hanging="708"/>
        <w:jc w:val="both"/>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t>* Підпис особи дає згоду на обробку персональних даних відповідно до Закону України "Про захист персональних даних"</w:t>
      </w:r>
    </w:p>
    <w:p w14:paraId="5A4CA2C6" w14:textId="73734665" w:rsidR="00BF07C6" w:rsidRPr="00A83F6C" w:rsidRDefault="00BF07C6" w:rsidP="005379F8">
      <w:pPr>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br w:type="page"/>
      </w:r>
    </w:p>
    <w:p w14:paraId="490D6550" w14:textId="77777777" w:rsidR="00BF07C6" w:rsidRPr="00A83F6C" w:rsidRDefault="00BF07C6" w:rsidP="00041452">
      <w:pPr>
        <w:spacing w:after="120"/>
        <w:ind w:left="6096" w:right="89"/>
        <w:rPr>
          <w:rFonts w:ascii="Arial" w:hAnsi="Arial" w:cs="Arial"/>
          <w:noProof/>
          <w:color w:val="000000" w:themeColor="text1"/>
          <w:sz w:val="22"/>
          <w:szCs w:val="22"/>
          <w:lang w:val="uk-UA"/>
        </w:rPr>
      </w:pPr>
      <w:r w:rsidRPr="00A83F6C">
        <w:rPr>
          <w:rFonts w:ascii="Arial" w:hAnsi="Arial" w:cs="Arial"/>
          <w:noProof/>
          <w:color w:val="000000" w:themeColor="text1"/>
          <w:sz w:val="22"/>
          <w:szCs w:val="22"/>
          <w:lang w:val="uk-UA"/>
        </w:rPr>
        <w:lastRenderedPageBreak/>
        <w:t>Додаток 5</w:t>
      </w:r>
    </w:p>
    <w:p w14:paraId="0AA89531" w14:textId="77777777" w:rsidR="00041452" w:rsidRPr="00A83F6C" w:rsidRDefault="00041452" w:rsidP="00041452">
      <w:pPr>
        <w:spacing w:after="120"/>
        <w:ind w:left="6096"/>
        <w:rPr>
          <w:rFonts w:ascii="Arial" w:hAnsi="Arial" w:cs="Arial"/>
          <w:bCs/>
          <w:noProof/>
          <w:color w:val="000000" w:themeColor="text1"/>
          <w:sz w:val="22"/>
          <w:szCs w:val="22"/>
          <w:lang w:val="uk-UA"/>
        </w:rPr>
      </w:pPr>
      <w:r w:rsidRPr="00A83F6C">
        <w:rPr>
          <w:rFonts w:ascii="Arial" w:hAnsi="Arial" w:cs="Arial"/>
          <w:noProof/>
          <w:color w:val="000000" w:themeColor="text1"/>
          <w:sz w:val="22"/>
          <w:szCs w:val="22"/>
          <w:lang w:val="uk-UA"/>
        </w:rPr>
        <w:t>до Порядку проведення громадських слухань у процесі оцінки впливу на довкілля</w:t>
      </w:r>
    </w:p>
    <w:p w14:paraId="37F9F13D" w14:textId="77777777" w:rsidR="00041452" w:rsidRPr="00A83F6C" w:rsidRDefault="00041452" w:rsidP="00041452">
      <w:pPr>
        <w:spacing w:after="120"/>
        <w:ind w:left="709" w:right="89" w:hanging="708"/>
        <w:rPr>
          <w:rFonts w:ascii="Arial" w:hAnsi="Arial" w:cs="Arial"/>
          <w:noProof/>
          <w:color w:val="000000" w:themeColor="text1"/>
          <w:sz w:val="22"/>
          <w:szCs w:val="22"/>
          <w:lang w:val="uk-UA"/>
        </w:rPr>
      </w:pPr>
    </w:p>
    <w:p w14:paraId="3E5ECB76" w14:textId="77777777" w:rsidR="00BF07C6" w:rsidRPr="00A83F6C" w:rsidRDefault="00BF07C6" w:rsidP="00041452">
      <w:pPr>
        <w:spacing w:after="120"/>
        <w:ind w:right="89"/>
        <w:rPr>
          <w:rFonts w:ascii="Arial" w:hAnsi="Arial" w:cs="Arial"/>
          <w:noProof/>
          <w:sz w:val="22"/>
          <w:szCs w:val="22"/>
          <w:lang w:val="uk-UA"/>
        </w:rPr>
      </w:pPr>
    </w:p>
    <w:p w14:paraId="55B03174" w14:textId="77777777" w:rsidR="00BF07C6" w:rsidRPr="00A83F6C" w:rsidRDefault="00BF07C6" w:rsidP="00041452">
      <w:pPr>
        <w:spacing w:after="120"/>
        <w:ind w:right="89" w:firstLine="1"/>
        <w:rPr>
          <w:rFonts w:ascii="Arial" w:hAnsi="Arial" w:cs="Arial"/>
          <w:noProof/>
          <w:sz w:val="22"/>
          <w:szCs w:val="22"/>
          <w:lang w:val="uk-UA"/>
        </w:rPr>
      </w:pPr>
    </w:p>
    <w:p w14:paraId="636602D5" w14:textId="77777777" w:rsidR="00BF07C6" w:rsidRPr="00A83F6C" w:rsidRDefault="00BF07C6" w:rsidP="00041452">
      <w:pPr>
        <w:spacing w:after="120"/>
        <w:ind w:right="89" w:firstLine="1"/>
        <w:jc w:val="center"/>
        <w:rPr>
          <w:rFonts w:ascii="Arial" w:hAnsi="Arial" w:cs="Arial"/>
          <w:noProof/>
          <w:sz w:val="22"/>
          <w:szCs w:val="22"/>
          <w:lang w:val="uk-UA"/>
        </w:rPr>
      </w:pPr>
      <w:r w:rsidRPr="00A83F6C">
        <w:rPr>
          <w:rFonts w:ascii="Arial" w:hAnsi="Arial" w:cs="Arial"/>
          <w:noProof/>
          <w:sz w:val="22"/>
          <w:szCs w:val="22"/>
          <w:lang w:val="uk-UA"/>
        </w:rPr>
        <w:t>АКТ</w:t>
      </w:r>
    </w:p>
    <w:p w14:paraId="5B87A175" w14:textId="6D30F100" w:rsidR="00BF07C6" w:rsidRPr="00A83F6C" w:rsidRDefault="00041452" w:rsidP="00041452">
      <w:pPr>
        <w:spacing w:after="120"/>
        <w:ind w:right="89" w:firstLine="1"/>
        <w:jc w:val="center"/>
        <w:rPr>
          <w:rFonts w:ascii="Arial" w:hAnsi="Arial" w:cs="Arial"/>
          <w:noProof/>
          <w:sz w:val="22"/>
          <w:szCs w:val="22"/>
          <w:lang w:val="uk-UA"/>
        </w:rPr>
      </w:pPr>
      <w:r w:rsidRPr="00A83F6C">
        <w:rPr>
          <w:rFonts w:ascii="Arial" w:hAnsi="Arial" w:cs="Arial"/>
          <w:noProof/>
          <w:sz w:val="22"/>
          <w:szCs w:val="22"/>
          <w:lang w:val="uk-UA"/>
        </w:rPr>
        <w:t>п</w:t>
      </w:r>
      <w:r w:rsidR="00BF07C6" w:rsidRPr="00A83F6C">
        <w:rPr>
          <w:rFonts w:ascii="Arial" w:hAnsi="Arial" w:cs="Arial"/>
          <w:noProof/>
          <w:sz w:val="22"/>
          <w:szCs w:val="22"/>
          <w:lang w:val="uk-UA"/>
        </w:rPr>
        <w:t>ро неявку представників громадськості на громадському слухання, про визнання громадських слухань такими що не відбулися</w:t>
      </w:r>
    </w:p>
    <w:p w14:paraId="7D49FDE9" w14:textId="77777777" w:rsidR="00BF07C6" w:rsidRPr="00A83F6C" w:rsidRDefault="00BF07C6" w:rsidP="00041452">
      <w:pPr>
        <w:spacing w:after="120"/>
        <w:ind w:right="89" w:firstLine="1"/>
        <w:jc w:val="center"/>
        <w:rPr>
          <w:rFonts w:ascii="Arial" w:hAnsi="Arial" w:cs="Arial"/>
          <w:noProof/>
          <w:sz w:val="22"/>
          <w:szCs w:val="22"/>
          <w:lang w:val="uk-UA"/>
        </w:rPr>
      </w:pPr>
    </w:p>
    <w:p w14:paraId="1A9ECFE1" w14:textId="77777777" w:rsidR="00BF07C6" w:rsidRPr="00A83F6C" w:rsidRDefault="00BF07C6" w:rsidP="00041452">
      <w:pPr>
        <w:spacing w:after="120"/>
        <w:ind w:right="89" w:firstLine="1"/>
        <w:jc w:val="center"/>
        <w:rPr>
          <w:rFonts w:ascii="Arial" w:hAnsi="Arial" w:cs="Arial"/>
          <w:noProof/>
          <w:sz w:val="22"/>
          <w:szCs w:val="22"/>
          <w:lang w:val="uk-UA"/>
        </w:rPr>
      </w:pPr>
      <w:r w:rsidRPr="00A83F6C">
        <w:rPr>
          <w:rFonts w:ascii="Arial" w:hAnsi="Arial" w:cs="Arial"/>
          <w:noProof/>
          <w:sz w:val="22"/>
          <w:szCs w:val="22"/>
          <w:lang w:val="uk-UA"/>
        </w:rPr>
        <w:t>Місце</w:t>
      </w:r>
      <w:r w:rsidRPr="00A83F6C">
        <w:rPr>
          <w:rFonts w:ascii="Arial" w:hAnsi="Arial" w:cs="Arial"/>
          <w:noProof/>
          <w:sz w:val="22"/>
          <w:szCs w:val="22"/>
          <w:lang w:val="uk-UA"/>
        </w:rPr>
        <w:tab/>
      </w:r>
      <w:r w:rsidRPr="00A83F6C">
        <w:rPr>
          <w:rFonts w:ascii="Arial" w:hAnsi="Arial" w:cs="Arial"/>
          <w:noProof/>
          <w:sz w:val="22"/>
          <w:szCs w:val="22"/>
          <w:lang w:val="uk-UA"/>
        </w:rPr>
        <w:tab/>
      </w:r>
      <w:r w:rsidRPr="00A83F6C">
        <w:rPr>
          <w:rFonts w:ascii="Arial" w:hAnsi="Arial" w:cs="Arial"/>
          <w:noProof/>
          <w:sz w:val="22"/>
          <w:szCs w:val="22"/>
          <w:lang w:val="uk-UA"/>
        </w:rPr>
        <w:tab/>
      </w:r>
      <w:r w:rsidRPr="00A83F6C">
        <w:rPr>
          <w:rFonts w:ascii="Arial" w:hAnsi="Arial" w:cs="Arial"/>
          <w:noProof/>
          <w:sz w:val="22"/>
          <w:szCs w:val="22"/>
          <w:lang w:val="uk-UA"/>
        </w:rPr>
        <w:tab/>
      </w:r>
      <w:r w:rsidRPr="00A83F6C">
        <w:rPr>
          <w:rFonts w:ascii="Arial" w:hAnsi="Arial" w:cs="Arial"/>
          <w:noProof/>
          <w:sz w:val="22"/>
          <w:szCs w:val="22"/>
          <w:lang w:val="uk-UA"/>
        </w:rPr>
        <w:tab/>
      </w:r>
      <w:r w:rsidRPr="00A83F6C">
        <w:rPr>
          <w:rFonts w:ascii="Arial" w:hAnsi="Arial" w:cs="Arial"/>
          <w:noProof/>
          <w:sz w:val="22"/>
          <w:szCs w:val="22"/>
          <w:lang w:val="uk-UA"/>
        </w:rPr>
        <w:tab/>
      </w:r>
      <w:r w:rsidRPr="00A83F6C">
        <w:rPr>
          <w:rFonts w:ascii="Arial" w:hAnsi="Arial" w:cs="Arial"/>
          <w:noProof/>
          <w:sz w:val="22"/>
          <w:szCs w:val="22"/>
          <w:lang w:val="uk-UA"/>
        </w:rPr>
        <w:tab/>
      </w:r>
      <w:r w:rsidRPr="00A83F6C">
        <w:rPr>
          <w:rFonts w:ascii="Arial" w:hAnsi="Arial" w:cs="Arial"/>
          <w:noProof/>
          <w:sz w:val="22"/>
          <w:szCs w:val="22"/>
          <w:lang w:val="uk-UA"/>
        </w:rPr>
        <w:tab/>
      </w:r>
      <w:r w:rsidRPr="00A83F6C">
        <w:rPr>
          <w:rFonts w:ascii="Arial" w:hAnsi="Arial" w:cs="Arial"/>
          <w:noProof/>
          <w:sz w:val="22"/>
          <w:szCs w:val="22"/>
          <w:lang w:val="uk-UA"/>
        </w:rPr>
        <w:tab/>
      </w:r>
      <w:r w:rsidRPr="00A83F6C">
        <w:rPr>
          <w:rFonts w:ascii="Arial" w:hAnsi="Arial" w:cs="Arial"/>
          <w:noProof/>
          <w:sz w:val="22"/>
          <w:szCs w:val="22"/>
          <w:lang w:val="uk-UA"/>
        </w:rPr>
        <w:tab/>
      </w:r>
      <w:r w:rsidRPr="00A83F6C">
        <w:rPr>
          <w:rFonts w:ascii="Arial" w:hAnsi="Arial" w:cs="Arial"/>
          <w:noProof/>
          <w:sz w:val="22"/>
          <w:szCs w:val="22"/>
          <w:lang w:val="uk-UA"/>
        </w:rPr>
        <w:tab/>
        <w:t>Дата</w:t>
      </w:r>
    </w:p>
    <w:p w14:paraId="5999A482" w14:textId="77777777" w:rsidR="00BF07C6" w:rsidRPr="00A83F6C" w:rsidRDefault="00BF07C6" w:rsidP="00041452">
      <w:pPr>
        <w:spacing w:after="120"/>
        <w:ind w:right="89" w:firstLine="1"/>
        <w:jc w:val="both"/>
        <w:rPr>
          <w:rFonts w:ascii="Arial" w:hAnsi="Arial" w:cs="Arial"/>
          <w:noProof/>
          <w:sz w:val="22"/>
          <w:szCs w:val="22"/>
          <w:lang w:val="uk-UA"/>
        </w:rPr>
      </w:pPr>
    </w:p>
    <w:p w14:paraId="47EE41E6" w14:textId="4BFAC6AB" w:rsidR="00190ED8" w:rsidRPr="00A83F6C" w:rsidRDefault="00BF07C6" w:rsidP="00041452">
      <w:pPr>
        <w:spacing w:after="120"/>
        <w:ind w:right="89" w:firstLine="1"/>
        <w:jc w:val="both"/>
        <w:rPr>
          <w:rFonts w:ascii="Arial" w:hAnsi="Arial" w:cs="Arial"/>
          <w:noProof/>
          <w:sz w:val="22"/>
          <w:szCs w:val="22"/>
          <w:lang w:val="uk-UA"/>
        </w:rPr>
      </w:pPr>
      <w:r w:rsidRPr="00A83F6C">
        <w:rPr>
          <w:rFonts w:ascii="Arial" w:hAnsi="Arial" w:cs="Arial"/>
          <w:noProof/>
          <w:sz w:val="22"/>
          <w:szCs w:val="22"/>
          <w:lang w:val="uk-UA"/>
        </w:rPr>
        <w:t>Цей акт складено організатором громадських слухань</w:t>
      </w:r>
      <w:r w:rsidR="00041452" w:rsidRPr="00A83F6C">
        <w:rPr>
          <w:rFonts w:ascii="Arial" w:hAnsi="Arial" w:cs="Arial"/>
          <w:noProof/>
          <w:sz w:val="22"/>
          <w:szCs w:val="22"/>
          <w:lang w:val="uk-UA"/>
        </w:rPr>
        <w:t xml:space="preserve"> та/чи уповноваженим органом про те,</w:t>
      </w:r>
      <w:r w:rsidRPr="00A83F6C">
        <w:rPr>
          <w:rFonts w:ascii="Arial" w:hAnsi="Arial" w:cs="Arial"/>
          <w:noProof/>
          <w:sz w:val="22"/>
          <w:szCs w:val="22"/>
          <w:lang w:val="uk-UA"/>
        </w:rPr>
        <w:t xml:space="preserve"> що </w:t>
      </w:r>
      <w:r w:rsidR="00190ED8" w:rsidRPr="00A83F6C">
        <w:rPr>
          <w:rFonts w:ascii="Arial" w:hAnsi="Arial" w:cs="Arial"/>
          <w:noProof/>
          <w:sz w:val="22"/>
          <w:szCs w:val="22"/>
          <w:lang w:val="uk-UA"/>
        </w:rPr>
        <w:t>жоден представник громадськ</w:t>
      </w:r>
      <w:r w:rsidR="00514B99">
        <w:rPr>
          <w:rFonts w:ascii="Arial" w:hAnsi="Arial" w:cs="Arial"/>
          <w:noProof/>
          <w:sz w:val="22"/>
          <w:szCs w:val="22"/>
          <w:lang w:val="uk-UA"/>
        </w:rPr>
        <w:t>о</w:t>
      </w:r>
      <w:r w:rsidR="00190ED8" w:rsidRPr="00A83F6C">
        <w:rPr>
          <w:rFonts w:ascii="Arial" w:hAnsi="Arial" w:cs="Arial"/>
          <w:noProof/>
          <w:sz w:val="22"/>
          <w:szCs w:val="22"/>
          <w:lang w:val="uk-UA"/>
        </w:rPr>
        <w:t>ст</w:t>
      </w:r>
      <w:r w:rsidR="00514B99">
        <w:rPr>
          <w:rFonts w:ascii="Arial" w:hAnsi="Arial" w:cs="Arial"/>
          <w:noProof/>
          <w:sz w:val="22"/>
          <w:szCs w:val="22"/>
          <w:lang w:val="uk-UA"/>
        </w:rPr>
        <w:t>і</w:t>
      </w:r>
      <w:r w:rsidR="00190ED8" w:rsidRPr="00A83F6C">
        <w:rPr>
          <w:rFonts w:ascii="Arial" w:hAnsi="Arial" w:cs="Arial"/>
          <w:noProof/>
          <w:sz w:val="22"/>
          <w:szCs w:val="22"/>
          <w:lang w:val="uk-UA"/>
        </w:rPr>
        <w:t xml:space="preserve"> не з’явився </w:t>
      </w:r>
      <w:r w:rsidRPr="00A83F6C">
        <w:rPr>
          <w:rFonts w:ascii="Arial" w:hAnsi="Arial" w:cs="Arial"/>
          <w:noProof/>
          <w:sz w:val="22"/>
          <w:szCs w:val="22"/>
          <w:lang w:val="uk-UA"/>
        </w:rPr>
        <w:t>на громадські слухання</w:t>
      </w:r>
      <w:r w:rsidR="00190ED8" w:rsidRPr="00A83F6C">
        <w:rPr>
          <w:rFonts w:ascii="Arial" w:hAnsi="Arial" w:cs="Arial"/>
          <w:noProof/>
          <w:sz w:val="22"/>
          <w:szCs w:val="22"/>
          <w:lang w:val="uk-UA"/>
        </w:rPr>
        <w:t>,</w:t>
      </w:r>
      <w:r w:rsidRPr="00A83F6C">
        <w:rPr>
          <w:rFonts w:ascii="Arial" w:hAnsi="Arial" w:cs="Arial"/>
          <w:noProof/>
          <w:sz w:val="22"/>
          <w:szCs w:val="22"/>
          <w:lang w:val="uk-UA"/>
        </w:rPr>
        <w:t xml:space="preserve"> передбачені в оголошені про громадські обговорення</w:t>
      </w:r>
      <w:r w:rsidR="00190ED8" w:rsidRPr="00A83F6C">
        <w:rPr>
          <w:rFonts w:ascii="Arial" w:hAnsi="Arial" w:cs="Arial"/>
          <w:noProof/>
          <w:sz w:val="22"/>
          <w:szCs w:val="22"/>
          <w:lang w:val="uk-UA"/>
        </w:rPr>
        <w:t>,</w:t>
      </w:r>
      <w:r w:rsidRPr="00A83F6C">
        <w:rPr>
          <w:rFonts w:ascii="Arial" w:hAnsi="Arial" w:cs="Arial"/>
          <w:noProof/>
          <w:sz w:val="22"/>
          <w:szCs w:val="22"/>
          <w:lang w:val="uk-UA"/>
        </w:rPr>
        <w:t xml:space="preserve"> від </w:t>
      </w:r>
      <w:r w:rsidR="00514B99">
        <w:rPr>
          <w:rFonts w:ascii="Arial" w:hAnsi="Arial" w:cs="Arial"/>
          <w:noProof/>
          <w:sz w:val="22"/>
          <w:szCs w:val="22"/>
          <w:lang w:val="uk-UA"/>
        </w:rPr>
        <w:t xml:space="preserve">_______ </w:t>
      </w:r>
      <w:r w:rsidRPr="00A83F6C">
        <w:rPr>
          <w:rFonts w:ascii="Arial" w:hAnsi="Arial" w:cs="Arial"/>
          <w:noProof/>
          <w:sz w:val="22"/>
          <w:szCs w:val="22"/>
          <w:lang w:val="uk-UA"/>
        </w:rPr>
        <w:t>числа, яке було опубліковане</w:t>
      </w:r>
      <w:r w:rsidR="00190ED8" w:rsidRPr="00A83F6C">
        <w:rPr>
          <w:rFonts w:ascii="Arial" w:hAnsi="Arial" w:cs="Arial"/>
          <w:noProof/>
          <w:sz w:val="22"/>
          <w:szCs w:val="22"/>
          <w:lang w:val="uk-UA"/>
        </w:rPr>
        <w:t>_____________________________________________________________</w:t>
      </w:r>
      <w:r w:rsidRPr="00A83F6C">
        <w:rPr>
          <w:rFonts w:ascii="Arial" w:hAnsi="Arial" w:cs="Arial"/>
          <w:noProof/>
          <w:sz w:val="22"/>
          <w:szCs w:val="22"/>
          <w:lang w:val="uk-UA"/>
        </w:rPr>
        <w:t>,</w:t>
      </w:r>
    </w:p>
    <w:p w14:paraId="60520B02" w14:textId="254B4671" w:rsidR="00190ED8" w:rsidRPr="00A83F6C" w:rsidRDefault="00190ED8" w:rsidP="00041452">
      <w:pPr>
        <w:spacing w:after="120"/>
        <w:ind w:right="89" w:firstLine="1"/>
        <w:jc w:val="both"/>
        <w:rPr>
          <w:rFonts w:ascii="Arial" w:hAnsi="Arial" w:cs="Arial"/>
          <w:noProof/>
          <w:sz w:val="22"/>
          <w:szCs w:val="22"/>
          <w:lang w:val="uk-UA"/>
        </w:rPr>
      </w:pPr>
      <w:r w:rsidRPr="00A83F6C">
        <w:rPr>
          <w:rFonts w:ascii="Arial" w:hAnsi="Arial" w:cs="Arial"/>
          <w:noProof/>
          <w:sz w:val="22"/>
          <w:szCs w:val="22"/>
          <w:lang w:val="uk-UA"/>
        </w:rPr>
        <w:tab/>
      </w:r>
      <w:r w:rsidRPr="00A83F6C">
        <w:rPr>
          <w:rFonts w:ascii="Arial" w:hAnsi="Arial" w:cs="Arial"/>
          <w:noProof/>
          <w:sz w:val="22"/>
          <w:szCs w:val="22"/>
          <w:lang w:val="uk-UA"/>
        </w:rPr>
        <w:tab/>
        <w:t>(зазначити джерела опублікування )</w:t>
      </w:r>
    </w:p>
    <w:p w14:paraId="7648EAC9" w14:textId="1684C68C" w:rsidR="00BF07C6" w:rsidRPr="00A83F6C" w:rsidRDefault="00BF07C6" w:rsidP="00041452">
      <w:pPr>
        <w:spacing w:after="120"/>
        <w:ind w:right="89" w:firstLine="1"/>
        <w:jc w:val="both"/>
        <w:rPr>
          <w:rFonts w:ascii="Arial" w:hAnsi="Arial" w:cs="Arial"/>
          <w:noProof/>
          <w:sz w:val="22"/>
          <w:szCs w:val="22"/>
          <w:lang w:val="uk-UA"/>
        </w:rPr>
      </w:pPr>
      <w:r w:rsidRPr="00A83F6C">
        <w:rPr>
          <w:rFonts w:ascii="Arial" w:hAnsi="Arial" w:cs="Arial"/>
          <w:noProof/>
          <w:sz w:val="22"/>
          <w:szCs w:val="22"/>
          <w:lang w:val="uk-UA"/>
        </w:rPr>
        <w:t>у продовж відведеного часу на провед</w:t>
      </w:r>
      <w:r w:rsidR="00190ED8" w:rsidRPr="00A83F6C">
        <w:rPr>
          <w:rFonts w:ascii="Arial" w:hAnsi="Arial" w:cs="Arial"/>
          <w:noProof/>
          <w:sz w:val="22"/>
          <w:szCs w:val="22"/>
          <w:lang w:val="uk-UA"/>
        </w:rPr>
        <w:t>ення громадських слухань.</w:t>
      </w:r>
    </w:p>
    <w:p w14:paraId="66641FDF" w14:textId="77777777" w:rsidR="00BF07C6" w:rsidRPr="00A83F6C" w:rsidRDefault="00BF07C6" w:rsidP="00041452">
      <w:pPr>
        <w:spacing w:after="120"/>
        <w:ind w:right="89" w:firstLine="1"/>
        <w:jc w:val="center"/>
        <w:rPr>
          <w:rFonts w:ascii="Arial" w:hAnsi="Arial" w:cs="Arial"/>
          <w:noProof/>
          <w:sz w:val="22"/>
          <w:szCs w:val="22"/>
          <w:lang w:val="uk-UA"/>
        </w:rPr>
      </w:pPr>
    </w:p>
    <w:p w14:paraId="2A279BC9" w14:textId="77777777" w:rsidR="00BF07C6" w:rsidRPr="00A83F6C" w:rsidRDefault="00BF07C6" w:rsidP="00041452">
      <w:pPr>
        <w:spacing w:after="120"/>
        <w:ind w:right="89" w:firstLine="1"/>
        <w:jc w:val="center"/>
        <w:rPr>
          <w:rFonts w:ascii="Arial" w:hAnsi="Arial" w:cs="Arial"/>
          <w:noProof/>
          <w:sz w:val="22"/>
          <w:szCs w:val="22"/>
          <w:lang w:val="uk-UA"/>
        </w:rPr>
      </w:pPr>
    </w:p>
    <w:p w14:paraId="4C902577" w14:textId="77777777" w:rsidR="00BF07C6" w:rsidRPr="00A83F6C" w:rsidRDefault="00BF07C6" w:rsidP="00041452">
      <w:pPr>
        <w:spacing w:after="120"/>
        <w:ind w:right="89" w:firstLine="1"/>
        <w:jc w:val="center"/>
        <w:rPr>
          <w:rFonts w:ascii="Arial" w:hAnsi="Arial" w:cs="Arial"/>
          <w:noProof/>
          <w:sz w:val="22"/>
          <w:szCs w:val="22"/>
          <w:lang w:val="uk-UA"/>
        </w:rPr>
      </w:pPr>
    </w:p>
    <w:p w14:paraId="50FA2FF4" w14:textId="77777777" w:rsidR="00BF07C6" w:rsidRPr="00A83F6C" w:rsidRDefault="00BF07C6" w:rsidP="00041452">
      <w:pPr>
        <w:spacing w:after="120"/>
        <w:ind w:right="89" w:firstLine="1"/>
        <w:jc w:val="center"/>
        <w:rPr>
          <w:rFonts w:ascii="Arial" w:hAnsi="Arial" w:cs="Arial"/>
          <w:noProof/>
          <w:sz w:val="22"/>
          <w:szCs w:val="22"/>
          <w:lang w:val="uk-UA"/>
        </w:rPr>
      </w:pPr>
      <w:r w:rsidRPr="00A83F6C">
        <w:rPr>
          <w:rFonts w:ascii="Arial" w:hAnsi="Arial" w:cs="Arial"/>
          <w:noProof/>
          <w:sz w:val="22"/>
          <w:szCs w:val="22"/>
          <w:lang w:val="uk-UA"/>
        </w:rPr>
        <w:t>Дата</w:t>
      </w:r>
      <w:r w:rsidRPr="00A83F6C">
        <w:rPr>
          <w:rFonts w:ascii="Arial" w:hAnsi="Arial" w:cs="Arial"/>
          <w:noProof/>
          <w:sz w:val="22"/>
          <w:szCs w:val="22"/>
          <w:lang w:val="uk-UA"/>
        </w:rPr>
        <w:tab/>
      </w:r>
      <w:r w:rsidRPr="00A83F6C">
        <w:rPr>
          <w:rFonts w:ascii="Arial" w:hAnsi="Arial" w:cs="Arial"/>
          <w:noProof/>
          <w:sz w:val="22"/>
          <w:szCs w:val="22"/>
          <w:lang w:val="uk-UA"/>
        </w:rPr>
        <w:tab/>
      </w:r>
      <w:r w:rsidRPr="00A83F6C">
        <w:rPr>
          <w:rFonts w:ascii="Arial" w:hAnsi="Arial" w:cs="Arial"/>
          <w:noProof/>
          <w:sz w:val="22"/>
          <w:szCs w:val="22"/>
          <w:lang w:val="uk-UA"/>
        </w:rPr>
        <w:tab/>
      </w:r>
      <w:r w:rsidRPr="00A83F6C">
        <w:rPr>
          <w:rFonts w:ascii="Arial" w:hAnsi="Arial" w:cs="Arial"/>
          <w:noProof/>
          <w:sz w:val="22"/>
          <w:szCs w:val="22"/>
          <w:lang w:val="uk-UA"/>
        </w:rPr>
        <w:tab/>
      </w:r>
      <w:r w:rsidRPr="00A83F6C">
        <w:rPr>
          <w:rFonts w:ascii="Arial" w:hAnsi="Arial" w:cs="Arial"/>
          <w:noProof/>
          <w:sz w:val="22"/>
          <w:szCs w:val="22"/>
          <w:lang w:val="uk-UA"/>
        </w:rPr>
        <w:tab/>
      </w:r>
      <w:r w:rsidRPr="00A83F6C">
        <w:rPr>
          <w:rFonts w:ascii="Arial" w:hAnsi="Arial" w:cs="Arial"/>
          <w:noProof/>
          <w:sz w:val="22"/>
          <w:szCs w:val="22"/>
          <w:lang w:val="uk-UA"/>
        </w:rPr>
        <w:tab/>
      </w:r>
      <w:r w:rsidRPr="00A83F6C">
        <w:rPr>
          <w:rFonts w:ascii="Arial" w:hAnsi="Arial" w:cs="Arial"/>
          <w:noProof/>
          <w:sz w:val="22"/>
          <w:szCs w:val="22"/>
          <w:lang w:val="uk-UA"/>
        </w:rPr>
        <w:tab/>
      </w:r>
      <w:r w:rsidRPr="00A83F6C">
        <w:rPr>
          <w:rFonts w:ascii="Arial" w:hAnsi="Arial" w:cs="Arial"/>
          <w:noProof/>
          <w:sz w:val="22"/>
          <w:szCs w:val="22"/>
          <w:lang w:val="uk-UA"/>
        </w:rPr>
        <w:tab/>
      </w:r>
      <w:r w:rsidRPr="00A83F6C">
        <w:rPr>
          <w:rFonts w:ascii="Arial" w:hAnsi="Arial" w:cs="Arial"/>
          <w:noProof/>
          <w:sz w:val="22"/>
          <w:szCs w:val="22"/>
          <w:lang w:val="uk-UA"/>
        </w:rPr>
        <w:tab/>
      </w:r>
      <w:r w:rsidRPr="00A83F6C">
        <w:rPr>
          <w:rFonts w:ascii="Arial" w:hAnsi="Arial" w:cs="Arial"/>
          <w:noProof/>
          <w:sz w:val="22"/>
          <w:szCs w:val="22"/>
          <w:lang w:val="uk-UA"/>
        </w:rPr>
        <w:tab/>
        <w:t>Підпис</w:t>
      </w:r>
    </w:p>
    <w:p w14:paraId="290E88CC" w14:textId="77777777" w:rsidR="00BF07C6" w:rsidRPr="00A83F6C" w:rsidRDefault="00BF07C6" w:rsidP="00041452">
      <w:pPr>
        <w:spacing w:after="120"/>
        <w:ind w:right="89" w:firstLine="1"/>
        <w:rPr>
          <w:rFonts w:ascii="Arial" w:hAnsi="Arial" w:cs="Arial"/>
          <w:noProof/>
          <w:sz w:val="22"/>
          <w:szCs w:val="22"/>
          <w:lang w:val="uk-UA"/>
        </w:rPr>
      </w:pPr>
    </w:p>
    <w:p w14:paraId="2DA2B5D4" w14:textId="77777777" w:rsidR="00BF07C6" w:rsidRPr="00A83F6C" w:rsidRDefault="00BF07C6" w:rsidP="00041452">
      <w:pPr>
        <w:spacing w:after="120"/>
        <w:ind w:left="709" w:right="89" w:hanging="708"/>
        <w:rPr>
          <w:rFonts w:ascii="Arial" w:hAnsi="Arial" w:cs="Arial"/>
          <w:noProof/>
          <w:color w:val="000000" w:themeColor="text1"/>
          <w:sz w:val="22"/>
          <w:szCs w:val="22"/>
          <w:lang w:val="uk-UA"/>
        </w:rPr>
      </w:pPr>
    </w:p>
    <w:p w14:paraId="6BEF222D" w14:textId="77777777" w:rsidR="00557001" w:rsidRPr="00A83F6C" w:rsidRDefault="00557001" w:rsidP="00041452">
      <w:pPr>
        <w:rPr>
          <w:rFonts w:ascii="Arial" w:hAnsi="Arial" w:cs="Arial"/>
          <w:noProof/>
          <w:sz w:val="22"/>
          <w:szCs w:val="22"/>
          <w:lang w:val="uk-UA"/>
        </w:rPr>
      </w:pPr>
    </w:p>
    <w:sectPr w:rsidR="00557001" w:rsidRPr="00A83F6C" w:rsidSect="00E504A3">
      <w:footerReference w:type="even" r:id="rId7"/>
      <w:footerReference w:type="default" r:id="rId8"/>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78739" w14:textId="77777777" w:rsidR="00D73C6B" w:rsidRDefault="00D73C6B" w:rsidP="005379F8">
      <w:r>
        <w:separator/>
      </w:r>
    </w:p>
  </w:endnote>
  <w:endnote w:type="continuationSeparator" w:id="0">
    <w:p w14:paraId="31C828BB" w14:textId="77777777" w:rsidR="00D73C6B" w:rsidRDefault="00D73C6B" w:rsidP="0053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F6CDD" w14:textId="77777777" w:rsidR="005379F8" w:rsidRDefault="005379F8" w:rsidP="00EE3F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0AD2A2" w14:textId="77777777" w:rsidR="005379F8" w:rsidRDefault="005379F8" w:rsidP="005379F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CAEF0" w14:textId="77777777" w:rsidR="005379F8" w:rsidRDefault="005379F8" w:rsidP="00EE3F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60D5">
      <w:rPr>
        <w:rStyle w:val="PageNumber"/>
        <w:noProof/>
      </w:rPr>
      <w:t>20</w:t>
    </w:r>
    <w:r>
      <w:rPr>
        <w:rStyle w:val="PageNumber"/>
      </w:rPr>
      <w:fldChar w:fldCharType="end"/>
    </w:r>
  </w:p>
  <w:p w14:paraId="266CFDAD" w14:textId="77777777" w:rsidR="005379F8" w:rsidRDefault="005379F8" w:rsidP="005379F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13FBB" w14:textId="77777777" w:rsidR="00D73C6B" w:rsidRDefault="00D73C6B" w:rsidP="005379F8">
      <w:r>
        <w:separator/>
      </w:r>
    </w:p>
  </w:footnote>
  <w:footnote w:type="continuationSeparator" w:id="0">
    <w:p w14:paraId="37E8433E" w14:textId="77777777" w:rsidR="00D73C6B" w:rsidRDefault="00D73C6B" w:rsidP="005379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432FF"/>
    <w:multiLevelType w:val="hybridMultilevel"/>
    <w:tmpl w:val="A1966FC2"/>
    <w:lvl w:ilvl="0" w:tplc="0409000F">
      <w:start w:val="1"/>
      <w:numFmt w:val="decimal"/>
      <w:lvlText w:val="%1."/>
      <w:lvlJc w:val="left"/>
      <w:pPr>
        <w:ind w:left="928" w:hanging="360"/>
      </w:pPr>
      <w:rPr>
        <w:rFonts w:hint="default"/>
        <w:strike w:val="0"/>
      </w:rPr>
    </w:lvl>
    <w:lvl w:ilvl="1" w:tplc="D124F364">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C9286F"/>
    <w:multiLevelType w:val="hybridMultilevel"/>
    <w:tmpl w:val="A1966FC2"/>
    <w:lvl w:ilvl="0" w:tplc="0409000F">
      <w:start w:val="1"/>
      <w:numFmt w:val="decimal"/>
      <w:lvlText w:val="%1."/>
      <w:lvlJc w:val="left"/>
      <w:pPr>
        <w:ind w:left="928" w:hanging="360"/>
      </w:pPr>
      <w:rPr>
        <w:rFonts w:hint="default"/>
        <w:strike w:val="0"/>
      </w:rPr>
    </w:lvl>
    <w:lvl w:ilvl="1" w:tplc="D124F364">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9943D3"/>
    <w:multiLevelType w:val="hybridMultilevel"/>
    <w:tmpl w:val="A1966FC2"/>
    <w:lvl w:ilvl="0" w:tplc="0409000F">
      <w:start w:val="1"/>
      <w:numFmt w:val="decimal"/>
      <w:lvlText w:val="%1."/>
      <w:lvlJc w:val="left"/>
      <w:pPr>
        <w:ind w:left="928" w:hanging="360"/>
      </w:pPr>
      <w:rPr>
        <w:rFonts w:hint="default"/>
        <w:strike w:val="0"/>
      </w:rPr>
    </w:lvl>
    <w:lvl w:ilvl="1" w:tplc="D124F364">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404B78"/>
    <w:multiLevelType w:val="hybridMultilevel"/>
    <w:tmpl w:val="A1966FC2"/>
    <w:lvl w:ilvl="0" w:tplc="0409000F">
      <w:start w:val="1"/>
      <w:numFmt w:val="decimal"/>
      <w:lvlText w:val="%1."/>
      <w:lvlJc w:val="left"/>
      <w:pPr>
        <w:ind w:left="928" w:hanging="360"/>
      </w:pPr>
      <w:rPr>
        <w:rFonts w:hint="default"/>
        <w:strike w:val="0"/>
      </w:rPr>
    </w:lvl>
    <w:lvl w:ilvl="1" w:tplc="D124F364">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7422ED2"/>
    <w:multiLevelType w:val="hybridMultilevel"/>
    <w:tmpl w:val="A1966FC2"/>
    <w:lvl w:ilvl="0" w:tplc="0409000F">
      <w:start w:val="1"/>
      <w:numFmt w:val="decimal"/>
      <w:lvlText w:val="%1."/>
      <w:lvlJc w:val="left"/>
      <w:pPr>
        <w:ind w:left="928" w:hanging="360"/>
      </w:pPr>
      <w:rPr>
        <w:rFonts w:hint="default"/>
        <w:strike w:val="0"/>
      </w:rPr>
    </w:lvl>
    <w:lvl w:ilvl="1" w:tplc="D124F364">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AAA5A6E"/>
    <w:multiLevelType w:val="hybridMultilevel"/>
    <w:tmpl w:val="A1966FC2"/>
    <w:lvl w:ilvl="0" w:tplc="0409000F">
      <w:start w:val="1"/>
      <w:numFmt w:val="decimal"/>
      <w:lvlText w:val="%1."/>
      <w:lvlJc w:val="left"/>
      <w:pPr>
        <w:ind w:left="928" w:hanging="360"/>
      </w:pPr>
      <w:rPr>
        <w:rFonts w:hint="default"/>
        <w:strike w:val="0"/>
      </w:rPr>
    </w:lvl>
    <w:lvl w:ilvl="1" w:tplc="D124F364">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C0F47AB"/>
    <w:multiLevelType w:val="hybridMultilevel"/>
    <w:tmpl w:val="A1966FC2"/>
    <w:lvl w:ilvl="0" w:tplc="0409000F">
      <w:start w:val="1"/>
      <w:numFmt w:val="decimal"/>
      <w:lvlText w:val="%1."/>
      <w:lvlJc w:val="left"/>
      <w:pPr>
        <w:ind w:left="928" w:hanging="360"/>
      </w:pPr>
      <w:rPr>
        <w:rFonts w:hint="default"/>
        <w:strike w:val="0"/>
      </w:rPr>
    </w:lvl>
    <w:lvl w:ilvl="1" w:tplc="D124F364">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4FE0BE0"/>
    <w:multiLevelType w:val="hybridMultilevel"/>
    <w:tmpl w:val="A1966FC2"/>
    <w:lvl w:ilvl="0" w:tplc="0409000F">
      <w:start w:val="1"/>
      <w:numFmt w:val="decimal"/>
      <w:lvlText w:val="%1."/>
      <w:lvlJc w:val="left"/>
      <w:pPr>
        <w:ind w:left="928" w:hanging="360"/>
      </w:pPr>
      <w:rPr>
        <w:rFonts w:hint="default"/>
        <w:strike w:val="0"/>
      </w:rPr>
    </w:lvl>
    <w:lvl w:ilvl="1" w:tplc="D124F364">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5D828EC"/>
    <w:multiLevelType w:val="hybridMultilevel"/>
    <w:tmpl w:val="A1966FC2"/>
    <w:lvl w:ilvl="0" w:tplc="0409000F">
      <w:start w:val="1"/>
      <w:numFmt w:val="decimal"/>
      <w:lvlText w:val="%1."/>
      <w:lvlJc w:val="left"/>
      <w:pPr>
        <w:ind w:left="928" w:hanging="360"/>
      </w:pPr>
      <w:rPr>
        <w:rFonts w:hint="default"/>
        <w:strike w:val="0"/>
      </w:rPr>
    </w:lvl>
    <w:lvl w:ilvl="1" w:tplc="D124F364">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B596876"/>
    <w:multiLevelType w:val="hybridMultilevel"/>
    <w:tmpl w:val="CBEA6D68"/>
    <w:lvl w:ilvl="0" w:tplc="397A7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9D0C43"/>
    <w:multiLevelType w:val="hybridMultilevel"/>
    <w:tmpl w:val="A1966FC2"/>
    <w:lvl w:ilvl="0" w:tplc="0409000F">
      <w:start w:val="1"/>
      <w:numFmt w:val="decimal"/>
      <w:lvlText w:val="%1."/>
      <w:lvlJc w:val="left"/>
      <w:pPr>
        <w:ind w:left="928" w:hanging="360"/>
      </w:pPr>
      <w:rPr>
        <w:rFonts w:hint="default"/>
        <w:strike w:val="0"/>
      </w:rPr>
    </w:lvl>
    <w:lvl w:ilvl="1" w:tplc="D124F364">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0034E04"/>
    <w:multiLevelType w:val="hybridMultilevel"/>
    <w:tmpl w:val="A1966FC2"/>
    <w:lvl w:ilvl="0" w:tplc="0409000F">
      <w:start w:val="1"/>
      <w:numFmt w:val="decimal"/>
      <w:lvlText w:val="%1."/>
      <w:lvlJc w:val="left"/>
      <w:pPr>
        <w:ind w:left="928" w:hanging="360"/>
      </w:pPr>
      <w:rPr>
        <w:rFonts w:hint="default"/>
        <w:strike w:val="0"/>
      </w:rPr>
    </w:lvl>
    <w:lvl w:ilvl="1" w:tplc="D124F364">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4D53907"/>
    <w:multiLevelType w:val="hybridMultilevel"/>
    <w:tmpl w:val="A1966FC2"/>
    <w:lvl w:ilvl="0" w:tplc="0409000F">
      <w:start w:val="1"/>
      <w:numFmt w:val="decimal"/>
      <w:lvlText w:val="%1."/>
      <w:lvlJc w:val="left"/>
      <w:pPr>
        <w:ind w:left="928" w:hanging="360"/>
      </w:pPr>
      <w:rPr>
        <w:rFonts w:hint="default"/>
        <w:strike w:val="0"/>
      </w:rPr>
    </w:lvl>
    <w:lvl w:ilvl="1" w:tplc="D124F364">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622187D"/>
    <w:multiLevelType w:val="hybridMultilevel"/>
    <w:tmpl w:val="629C9390"/>
    <w:lvl w:ilvl="0" w:tplc="782A8692">
      <w:start w:val="12"/>
      <w:numFmt w:val="decimal"/>
      <w:lvlText w:val="%1."/>
      <w:lvlJc w:val="left"/>
      <w:pPr>
        <w:tabs>
          <w:tab w:val="num" w:pos="900"/>
        </w:tabs>
        <w:ind w:left="900" w:hanging="360"/>
      </w:pPr>
      <w:rPr>
        <w:rFonts w:hint="default"/>
      </w:rPr>
    </w:lvl>
    <w:lvl w:ilvl="1" w:tplc="D124F364">
      <w:start w:val="2"/>
      <w:numFmt w:val="bullet"/>
      <w:lvlText w:val="-"/>
      <w:lvlJc w:val="left"/>
      <w:pPr>
        <w:ind w:left="1440" w:hanging="360"/>
      </w:pPr>
      <w:rPr>
        <w:rFonts w:ascii="Times New Roman" w:eastAsia="Times New Roman" w:hAnsi="Times New Roman" w:cs="Times New Roman" w:hint="default"/>
      </w:rPr>
    </w:lvl>
    <w:lvl w:ilvl="2" w:tplc="44A6EFBA">
      <w:start w:val="20"/>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7A1246"/>
    <w:multiLevelType w:val="hybridMultilevel"/>
    <w:tmpl w:val="B8425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A3015F"/>
    <w:multiLevelType w:val="hybridMultilevel"/>
    <w:tmpl w:val="A1966FC2"/>
    <w:lvl w:ilvl="0" w:tplc="0409000F">
      <w:start w:val="1"/>
      <w:numFmt w:val="decimal"/>
      <w:lvlText w:val="%1."/>
      <w:lvlJc w:val="left"/>
      <w:pPr>
        <w:ind w:left="928" w:hanging="360"/>
      </w:pPr>
      <w:rPr>
        <w:rFonts w:hint="default"/>
        <w:strike w:val="0"/>
      </w:rPr>
    </w:lvl>
    <w:lvl w:ilvl="1" w:tplc="D124F364">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4C22759"/>
    <w:multiLevelType w:val="hybridMultilevel"/>
    <w:tmpl w:val="A1966FC2"/>
    <w:lvl w:ilvl="0" w:tplc="0409000F">
      <w:start w:val="1"/>
      <w:numFmt w:val="decimal"/>
      <w:lvlText w:val="%1."/>
      <w:lvlJc w:val="left"/>
      <w:pPr>
        <w:ind w:left="928" w:hanging="360"/>
      </w:pPr>
      <w:rPr>
        <w:rFonts w:hint="default"/>
        <w:strike w:val="0"/>
      </w:rPr>
    </w:lvl>
    <w:lvl w:ilvl="1" w:tplc="D124F364">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CB8325F"/>
    <w:multiLevelType w:val="hybridMultilevel"/>
    <w:tmpl w:val="A1966FC2"/>
    <w:lvl w:ilvl="0" w:tplc="0409000F">
      <w:start w:val="1"/>
      <w:numFmt w:val="decimal"/>
      <w:lvlText w:val="%1."/>
      <w:lvlJc w:val="left"/>
      <w:pPr>
        <w:ind w:left="928" w:hanging="360"/>
      </w:pPr>
      <w:rPr>
        <w:rFonts w:hint="default"/>
        <w:strike w:val="0"/>
      </w:rPr>
    </w:lvl>
    <w:lvl w:ilvl="1" w:tplc="D124F364">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1D42856"/>
    <w:multiLevelType w:val="hybridMultilevel"/>
    <w:tmpl w:val="A1966FC2"/>
    <w:lvl w:ilvl="0" w:tplc="0409000F">
      <w:start w:val="1"/>
      <w:numFmt w:val="decimal"/>
      <w:lvlText w:val="%1."/>
      <w:lvlJc w:val="left"/>
      <w:pPr>
        <w:ind w:left="928" w:hanging="360"/>
      </w:pPr>
      <w:rPr>
        <w:rFonts w:hint="default"/>
        <w:strike w:val="0"/>
      </w:rPr>
    </w:lvl>
    <w:lvl w:ilvl="1" w:tplc="D124F364">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6026CEC"/>
    <w:multiLevelType w:val="hybridMultilevel"/>
    <w:tmpl w:val="A1966FC2"/>
    <w:lvl w:ilvl="0" w:tplc="0409000F">
      <w:start w:val="1"/>
      <w:numFmt w:val="decimal"/>
      <w:lvlText w:val="%1."/>
      <w:lvlJc w:val="left"/>
      <w:pPr>
        <w:ind w:left="928" w:hanging="360"/>
      </w:pPr>
      <w:rPr>
        <w:rFonts w:hint="default"/>
        <w:strike w:val="0"/>
      </w:rPr>
    </w:lvl>
    <w:lvl w:ilvl="1" w:tplc="D124F364">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6CF26F4"/>
    <w:multiLevelType w:val="hybridMultilevel"/>
    <w:tmpl w:val="A1966FC2"/>
    <w:lvl w:ilvl="0" w:tplc="0409000F">
      <w:start w:val="1"/>
      <w:numFmt w:val="decimal"/>
      <w:lvlText w:val="%1."/>
      <w:lvlJc w:val="left"/>
      <w:pPr>
        <w:ind w:left="928" w:hanging="360"/>
      </w:pPr>
      <w:rPr>
        <w:rFonts w:hint="default"/>
        <w:strike w:val="0"/>
      </w:rPr>
    </w:lvl>
    <w:lvl w:ilvl="1" w:tplc="D124F364">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7054629"/>
    <w:multiLevelType w:val="hybridMultilevel"/>
    <w:tmpl w:val="A1966FC2"/>
    <w:lvl w:ilvl="0" w:tplc="0409000F">
      <w:start w:val="1"/>
      <w:numFmt w:val="decimal"/>
      <w:lvlText w:val="%1."/>
      <w:lvlJc w:val="left"/>
      <w:pPr>
        <w:ind w:left="928" w:hanging="360"/>
      </w:pPr>
      <w:rPr>
        <w:rFonts w:hint="default"/>
        <w:strike w:val="0"/>
      </w:rPr>
    </w:lvl>
    <w:lvl w:ilvl="1" w:tplc="D124F364">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8FA5BD8"/>
    <w:multiLevelType w:val="hybridMultilevel"/>
    <w:tmpl w:val="A1966FC2"/>
    <w:lvl w:ilvl="0" w:tplc="0409000F">
      <w:start w:val="1"/>
      <w:numFmt w:val="decimal"/>
      <w:lvlText w:val="%1."/>
      <w:lvlJc w:val="left"/>
      <w:pPr>
        <w:ind w:left="928" w:hanging="360"/>
      </w:pPr>
      <w:rPr>
        <w:rFonts w:hint="default"/>
        <w:strike w:val="0"/>
      </w:rPr>
    </w:lvl>
    <w:lvl w:ilvl="1" w:tplc="D124F364">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9016B28"/>
    <w:multiLevelType w:val="hybridMultilevel"/>
    <w:tmpl w:val="A1966FC2"/>
    <w:lvl w:ilvl="0" w:tplc="0409000F">
      <w:start w:val="1"/>
      <w:numFmt w:val="decimal"/>
      <w:lvlText w:val="%1."/>
      <w:lvlJc w:val="left"/>
      <w:pPr>
        <w:ind w:left="928" w:hanging="360"/>
      </w:pPr>
      <w:rPr>
        <w:rFonts w:hint="default"/>
        <w:strike w:val="0"/>
      </w:rPr>
    </w:lvl>
    <w:lvl w:ilvl="1" w:tplc="D124F364">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C5E06F1"/>
    <w:multiLevelType w:val="hybridMultilevel"/>
    <w:tmpl w:val="A1966FC2"/>
    <w:lvl w:ilvl="0" w:tplc="0409000F">
      <w:start w:val="1"/>
      <w:numFmt w:val="decimal"/>
      <w:lvlText w:val="%1."/>
      <w:lvlJc w:val="left"/>
      <w:pPr>
        <w:ind w:left="928" w:hanging="360"/>
      </w:pPr>
      <w:rPr>
        <w:rFonts w:hint="default"/>
        <w:strike w:val="0"/>
      </w:rPr>
    </w:lvl>
    <w:lvl w:ilvl="1" w:tplc="D124F364">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D6D1B65"/>
    <w:multiLevelType w:val="hybridMultilevel"/>
    <w:tmpl w:val="A1966FC2"/>
    <w:lvl w:ilvl="0" w:tplc="0409000F">
      <w:start w:val="1"/>
      <w:numFmt w:val="decimal"/>
      <w:lvlText w:val="%1."/>
      <w:lvlJc w:val="left"/>
      <w:pPr>
        <w:ind w:left="928" w:hanging="360"/>
      </w:pPr>
      <w:rPr>
        <w:rFonts w:hint="default"/>
        <w:strike w:val="0"/>
      </w:rPr>
    </w:lvl>
    <w:lvl w:ilvl="1" w:tplc="D124F364">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3035F65"/>
    <w:multiLevelType w:val="hybridMultilevel"/>
    <w:tmpl w:val="A1966FC2"/>
    <w:lvl w:ilvl="0" w:tplc="0409000F">
      <w:start w:val="1"/>
      <w:numFmt w:val="decimal"/>
      <w:lvlText w:val="%1."/>
      <w:lvlJc w:val="left"/>
      <w:pPr>
        <w:ind w:left="928" w:hanging="360"/>
      </w:pPr>
      <w:rPr>
        <w:rFonts w:hint="default"/>
        <w:strike w:val="0"/>
      </w:rPr>
    </w:lvl>
    <w:lvl w:ilvl="1" w:tplc="D124F364">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44827C7"/>
    <w:multiLevelType w:val="hybridMultilevel"/>
    <w:tmpl w:val="A1966FC2"/>
    <w:lvl w:ilvl="0" w:tplc="0409000F">
      <w:start w:val="1"/>
      <w:numFmt w:val="decimal"/>
      <w:lvlText w:val="%1."/>
      <w:lvlJc w:val="left"/>
      <w:pPr>
        <w:ind w:left="928" w:hanging="360"/>
      </w:pPr>
      <w:rPr>
        <w:rFonts w:hint="default"/>
        <w:strike w:val="0"/>
      </w:rPr>
    </w:lvl>
    <w:lvl w:ilvl="1" w:tplc="D124F364">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74B2A5C"/>
    <w:multiLevelType w:val="hybridMultilevel"/>
    <w:tmpl w:val="A1966FC2"/>
    <w:lvl w:ilvl="0" w:tplc="0409000F">
      <w:start w:val="1"/>
      <w:numFmt w:val="decimal"/>
      <w:lvlText w:val="%1."/>
      <w:lvlJc w:val="left"/>
      <w:pPr>
        <w:ind w:left="928" w:hanging="360"/>
      </w:pPr>
      <w:rPr>
        <w:rFonts w:hint="default"/>
        <w:strike w:val="0"/>
      </w:rPr>
    </w:lvl>
    <w:lvl w:ilvl="1" w:tplc="D124F364">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92368C9"/>
    <w:multiLevelType w:val="hybridMultilevel"/>
    <w:tmpl w:val="CD803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AA6D93"/>
    <w:multiLevelType w:val="hybridMultilevel"/>
    <w:tmpl w:val="A1966FC2"/>
    <w:lvl w:ilvl="0" w:tplc="0409000F">
      <w:start w:val="1"/>
      <w:numFmt w:val="decimal"/>
      <w:lvlText w:val="%1."/>
      <w:lvlJc w:val="left"/>
      <w:pPr>
        <w:ind w:left="928" w:hanging="360"/>
      </w:pPr>
      <w:rPr>
        <w:rFonts w:hint="default"/>
        <w:strike w:val="0"/>
      </w:rPr>
    </w:lvl>
    <w:lvl w:ilvl="1" w:tplc="D124F364">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B2D05A1"/>
    <w:multiLevelType w:val="hybridMultilevel"/>
    <w:tmpl w:val="A1966FC2"/>
    <w:lvl w:ilvl="0" w:tplc="0409000F">
      <w:start w:val="1"/>
      <w:numFmt w:val="decimal"/>
      <w:lvlText w:val="%1."/>
      <w:lvlJc w:val="left"/>
      <w:pPr>
        <w:ind w:left="928" w:hanging="360"/>
      </w:pPr>
      <w:rPr>
        <w:rFonts w:hint="default"/>
        <w:strike w:val="0"/>
      </w:rPr>
    </w:lvl>
    <w:lvl w:ilvl="1" w:tplc="D124F364">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1CC2785"/>
    <w:multiLevelType w:val="hybridMultilevel"/>
    <w:tmpl w:val="D14E2642"/>
    <w:lvl w:ilvl="0" w:tplc="397A7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4F7AFF"/>
    <w:multiLevelType w:val="hybridMultilevel"/>
    <w:tmpl w:val="C5502F02"/>
    <w:lvl w:ilvl="0" w:tplc="7406A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4D251F"/>
    <w:multiLevelType w:val="hybridMultilevel"/>
    <w:tmpl w:val="A1966FC2"/>
    <w:lvl w:ilvl="0" w:tplc="0409000F">
      <w:start w:val="1"/>
      <w:numFmt w:val="decimal"/>
      <w:lvlText w:val="%1."/>
      <w:lvlJc w:val="left"/>
      <w:pPr>
        <w:ind w:left="928" w:hanging="360"/>
      </w:pPr>
      <w:rPr>
        <w:rFonts w:hint="default"/>
        <w:strike w:val="0"/>
      </w:rPr>
    </w:lvl>
    <w:lvl w:ilvl="1" w:tplc="D124F364">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028052D"/>
    <w:multiLevelType w:val="hybridMultilevel"/>
    <w:tmpl w:val="A1966FC2"/>
    <w:lvl w:ilvl="0" w:tplc="0409000F">
      <w:start w:val="1"/>
      <w:numFmt w:val="decimal"/>
      <w:lvlText w:val="%1."/>
      <w:lvlJc w:val="left"/>
      <w:pPr>
        <w:ind w:left="928" w:hanging="360"/>
      </w:pPr>
      <w:rPr>
        <w:rFonts w:hint="default"/>
        <w:strike w:val="0"/>
      </w:rPr>
    </w:lvl>
    <w:lvl w:ilvl="1" w:tplc="D124F364">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22E157D"/>
    <w:multiLevelType w:val="hybridMultilevel"/>
    <w:tmpl w:val="A1966FC2"/>
    <w:lvl w:ilvl="0" w:tplc="0409000F">
      <w:start w:val="1"/>
      <w:numFmt w:val="decimal"/>
      <w:lvlText w:val="%1."/>
      <w:lvlJc w:val="left"/>
      <w:pPr>
        <w:ind w:left="928" w:hanging="360"/>
      </w:pPr>
      <w:rPr>
        <w:rFonts w:hint="default"/>
        <w:strike w:val="0"/>
      </w:rPr>
    </w:lvl>
    <w:lvl w:ilvl="1" w:tplc="D124F364">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33F0957"/>
    <w:multiLevelType w:val="hybridMultilevel"/>
    <w:tmpl w:val="A1966FC2"/>
    <w:lvl w:ilvl="0" w:tplc="0409000F">
      <w:start w:val="1"/>
      <w:numFmt w:val="decimal"/>
      <w:lvlText w:val="%1."/>
      <w:lvlJc w:val="left"/>
      <w:pPr>
        <w:ind w:left="928" w:hanging="360"/>
      </w:pPr>
      <w:rPr>
        <w:rFonts w:hint="default"/>
        <w:strike w:val="0"/>
      </w:rPr>
    </w:lvl>
    <w:lvl w:ilvl="1" w:tplc="D124F364">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39D29A7"/>
    <w:multiLevelType w:val="hybridMultilevel"/>
    <w:tmpl w:val="A1966FC2"/>
    <w:lvl w:ilvl="0" w:tplc="0409000F">
      <w:start w:val="1"/>
      <w:numFmt w:val="decimal"/>
      <w:lvlText w:val="%1."/>
      <w:lvlJc w:val="left"/>
      <w:pPr>
        <w:ind w:left="928" w:hanging="360"/>
      </w:pPr>
      <w:rPr>
        <w:rFonts w:hint="default"/>
        <w:strike w:val="0"/>
      </w:rPr>
    </w:lvl>
    <w:lvl w:ilvl="1" w:tplc="D124F364">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4C15092"/>
    <w:multiLevelType w:val="hybridMultilevel"/>
    <w:tmpl w:val="B67AF668"/>
    <w:lvl w:ilvl="0" w:tplc="7E560B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956860"/>
    <w:multiLevelType w:val="hybridMultilevel"/>
    <w:tmpl w:val="A1966FC2"/>
    <w:lvl w:ilvl="0" w:tplc="0409000F">
      <w:start w:val="1"/>
      <w:numFmt w:val="decimal"/>
      <w:lvlText w:val="%1."/>
      <w:lvlJc w:val="left"/>
      <w:pPr>
        <w:ind w:left="928" w:hanging="360"/>
      </w:pPr>
      <w:rPr>
        <w:rFonts w:hint="default"/>
        <w:strike w:val="0"/>
      </w:rPr>
    </w:lvl>
    <w:lvl w:ilvl="1" w:tplc="D124F364">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A571EE2"/>
    <w:multiLevelType w:val="hybridMultilevel"/>
    <w:tmpl w:val="A1966FC2"/>
    <w:lvl w:ilvl="0" w:tplc="0409000F">
      <w:start w:val="1"/>
      <w:numFmt w:val="decimal"/>
      <w:lvlText w:val="%1."/>
      <w:lvlJc w:val="left"/>
      <w:pPr>
        <w:ind w:left="928" w:hanging="360"/>
      </w:pPr>
      <w:rPr>
        <w:rFonts w:hint="default"/>
        <w:strike w:val="0"/>
      </w:rPr>
    </w:lvl>
    <w:lvl w:ilvl="1" w:tplc="D124F364">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F606CD2"/>
    <w:multiLevelType w:val="hybridMultilevel"/>
    <w:tmpl w:val="A1966FC2"/>
    <w:lvl w:ilvl="0" w:tplc="0409000F">
      <w:start w:val="1"/>
      <w:numFmt w:val="decimal"/>
      <w:lvlText w:val="%1."/>
      <w:lvlJc w:val="left"/>
      <w:pPr>
        <w:ind w:left="928" w:hanging="360"/>
      </w:pPr>
      <w:rPr>
        <w:rFonts w:hint="default"/>
        <w:strike w:val="0"/>
      </w:rPr>
    </w:lvl>
    <w:lvl w:ilvl="1" w:tplc="D124F364">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7"/>
  </w:num>
  <w:num w:numId="2">
    <w:abstractNumId w:val="16"/>
  </w:num>
  <w:num w:numId="3">
    <w:abstractNumId w:val="20"/>
  </w:num>
  <w:num w:numId="4">
    <w:abstractNumId w:val="25"/>
  </w:num>
  <w:num w:numId="5">
    <w:abstractNumId w:val="35"/>
  </w:num>
  <w:num w:numId="6">
    <w:abstractNumId w:val="0"/>
  </w:num>
  <w:num w:numId="7">
    <w:abstractNumId w:val="42"/>
  </w:num>
  <w:num w:numId="8">
    <w:abstractNumId w:val="23"/>
  </w:num>
  <w:num w:numId="9">
    <w:abstractNumId w:val="26"/>
  </w:num>
  <w:num w:numId="10">
    <w:abstractNumId w:val="22"/>
  </w:num>
  <w:num w:numId="11">
    <w:abstractNumId w:val="2"/>
  </w:num>
  <w:num w:numId="12">
    <w:abstractNumId w:val="1"/>
  </w:num>
  <w:num w:numId="13">
    <w:abstractNumId w:val="21"/>
  </w:num>
  <w:num w:numId="14">
    <w:abstractNumId w:val="40"/>
  </w:num>
  <w:num w:numId="15">
    <w:abstractNumId w:val="4"/>
  </w:num>
  <w:num w:numId="16">
    <w:abstractNumId w:val="7"/>
  </w:num>
  <w:num w:numId="17">
    <w:abstractNumId w:val="41"/>
  </w:num>
  <w:num w:numId="18">
    <w:abstractNumId w:val="19"/>
  </w:num>
  <w:num w:numId="19">
    <w:abstractNumId w:val="31"/>
  </w:num>
  <w:num w:numId="20">
    <w:abstractNumId w:val="10"/>
  </w:num>
  <w:num w:numId="21">
    <w:abstractNumId w:val="18"/>
  </w:num>
  <w:num w:numId="22">
    <w:abstractNumId w:val="24"/>
  </w:num>
  <w:num w:numId="23">
    <w:abstractNumId w:val="3"/>
  </w:num>
  <w:num w:numId="24">
    <w:abstractNumId w:val="5"/>
  </w:num>
  <w:num w:numId="25">
    <w:abstractNumId w:val="28"/>
  </w:num>
  <w:num w:numId="26">
    <w:abstractNumId w:val="27"/>
  </w:num>
  <w:num w:numId="27">
    <w:abstractNumId w:val="36"/>
  </w:num>
  <w:num w:numId="28">
    <w:abstractNumId w:val="6"/>
  </w:num>
  <w:num w:numId="29">
    <w:abstractNumId w:val="12"/>
  </w:num>
  <w:num w:numId="30">
    <w:abstractNumId w:val="8"/>
  </w:num>
  <w:num w:numId="31">
    <w:abstractNumId w:val="38"/>
  </w:num>
  <w:num w:numId="32">
    <w:abstractNumId w:val="17"/>
  </w:num>
  <w:num w:numId="33">
    <w:abstractNumId w:val="11"/>
  </w:num>
  <w:num w:numId="34">
    <w:abstractNumId w:val="15"/>
  </w:num>
  <w:num w:numId="35">
    <w:abstractNumId w:val="30"/>
  </w:num>
  <w:num w:numId="36">
    <w:abstractNumId w:val="33"/>
  </w:num>
  <w:num w:numId="37">
    <w:abstractNumId w:val="9"/>
  </w:num>
  <w:num w:numId="38">
    <w:abstractNumId w:val="13"/>
  </w:num>
  <w:num w:numId="39">
    <w:abstractNumId w:val="32"/>
  </w:num>
  <w:num w:numId="40">
    <w:abstractNumId w:val="39"/>
  </w:num>
  <w:num w:numId="41">
    <w:abstractNumId w:val="29"/>
  </w:num>
  <w:num w:numId="42">
    <w:abstractNumId w:val="14"/>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DE"/>
    <w:rsid w:val="000042DC"/>
    <w:rsid w:val="00041452"/>
    <w:rsid w:val="000D7A92"/>
    <w:rsid w:val="000E3C8B"/>
    <w:rsid w:val="001450B3"/>
    <w:rsid w:val="00152D3D"/>
    <w:rsid w:val="001614A5"/>
    <w:rsid w:val="00190ED8"/>
    <w:rsid w:val="001F5E5C"/>
    <w:rsid w:val="00204CF7"/>
    <w:rsid w:val="003205DD"/>
    <w:rsid w:val="00341C4D"/>
    <w:rsid w:val="003A23CA"/>
    <w:rsid w:val="003B72F9"/>
    <w:rsid w:val="003F19DE"/>
    <w:rsid w:val="003F725E"/>
    <w:rsid w:val="00400B3B"/>
    <w:rsid w:val="004A2BFF"/>
    <w:rsid w:val="004A57C3"/>
    <w:rsid w:val="004B5813"/>
    <w:rsid w:val="00514B99"/>
    <w:rsid w:val="005379F8"/>
    <w:rsid w:val="005432F0"/>
    <w:rsid w:val="005520C3"/>
    <w:rsid w:val="00556797"/>
    <w:rsid w:val="00557001"/>
    <w:rsid w:val="00672F9A"/>
    <w:rsid w:val="00674DB7"/>
    <w:rsid w:val="00695FA5"/>
    <w:rsid w:val="007F476F"/>
    <w:rsid w:val="008908B9"/>
    <w:rsid w:val="008C26C7"/>
    <w:rsid w:val="008C2E9C"/>
    <w:rsid w:val="009430E8"/>
    <w:rsid w:val="00A10931"/>
    <w:rsid w:val="00A83F6C"/>
    <w:rsid w:val="00AB3CF5"/>
    <w:rsid w:val="00B060D5"/>
    <w:rsid w:val="00B1623A"/>
    <w:rsid w:val="00BF07C6"/>
    <w:rsid w:val="00C60FCC"/>
    <w:rsid w:val="00C81C4F"/>
    <w:rsid w:val="00CC5B99"/>
    <w:rsid w:val="00D01B2E"/>
    <w:rsid w:val="00D3131F"/>
    <w:rsid w:val="00D31655"/>
    <w:rsid w:val="00D45D30"/>
    <w:rsid w:val="00D73C6B"/>
    <w:rsid w:val="00E504A3"/>
    <w:rsid w:val="00EC7F4A"/>
    <w:rsid w:val="00F3072D"/>
    <w:rsid w:val="00F846AA"/>
    <w:rsid w:val="00FA521F"/>
    <w:rsid w:val="00FD3740"/>
    <w:rsid w:val="00FE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66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19D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1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DefaultParagraphFont"/>
    <w:rsid w:val="008C2E9C"/>
  </w:style>
  <w:style w:type="paragraph" w:styleId="ListParagraph">
    <w:name w:val="List Paragraph"/>
    <w:basedOn w:val="Normal"/>
    <w:uiPriority w:val="34"/>
    <w:qFormat/>
    <w:rsid w:val="00A10931"/>
    <w:pPr>
      <w:spacing w:after="200" w:line="276" w:lineRule="auto"/>
      <w:ind w:left="720"/>
      <w:contextualSpacing/>
    </w:pPr>
    <w:rPr>
      <w:rFonts w:ascii="Calibri" w:eastAsia="Calibri" w:hAnsi="Calibri"/>
      <w:sz w:val="22"/>
      <w:szCs w:val="22"/>
      <w:lang w:val="pl-PL"/>
    </w:rPr>
  </w:style>
  <w:style w:type="character" w:styleId="CommentReference">
    <w:name w:val="annotation reference"/>
    <w:basedOn w:val="DefaultParagraphFont"/>
    <w:uiPriority w:val="99"/>
    <w:semiHidden/>
    <w:unhideWhenUsed/>
    <w:rsid w:val="00A10931"/>
    <w:rPr>
      <w:sz w:val="16"/>
      <w:szCs w:val="16"/>
    </w:rPr>
  </w:style>
  <w:style w:type="paragraph" w:styleId="CommentText">
    <w:name w:val="annotation text"/>
    <w:basedOn w:val="Normal"/>
    <w:link w:val="CommentTextChar"/>
    <w:uiPriority w:val="99"/>
    <w:semiHidden/>
    <w:unhideWhenUsed/>
    <w:rsid w:val="00A10931"/>
    <w:rPr>
      <w:sz w:val="20"/>
      <w:szCs w:val="20"/>
    </w:rPr>
  </w:style>
  <w:style w:type="character" w:customStyle="1" w:styleId="CommentTextChar">
    <w:name w:val="Comment Text Char"/>
    <w:basedOn w:val="DefaultParagraphFont"/>
    <w:link w:val="CommentText"/>
    <w:uiPriority w:val="99"/>
    <w:semiHidden/>
    <w:rsid w:val="00A1093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10931"/>
    <w:rPr>
      <w:sz w:val="18"/>
      <w:szCs w:val="18"/>
    </w:rPr>
  </w:style>
  <w:style w:type="character" w:customStyle="1" w:styleId="BalloonTextChar">
    <w:name w:val="Balloon Text Char"/>
    <w:basedOn w:val="DefaultParagraphFont"/>
    <w:link w:val="BalloonText"/>
    <w:uiPriority w:val="99"/>
    <w:semiHidden/>
    <w:rsid w:val="00A1093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846AA"/>
    <w:rPr>
      <w:b/>
      <w:bCs/>
    </w:rPr>
  </w:style>
  <w:style w:type="character" w:customStyle="1" w:styleId="CommentSubjectChar">
    <w:name w:val="Comment Subject Char"/>
    <w:basedOn w:val="CommentTextChar"/>
    <w:link w:val="CommentSubject"/>
    <w:uiPriority w:val="99"/>
    <w:semiHidden/>
    <w:rsid w:val="00F846AA"/>
    <w:rPr>
      <w:rFonts w:ascii="Times New Roman" w:hAnsi="Times New Roman" w:cs="Times New Roman"/>
      <w:b/>
      <w:bCs/>
      <w:sz w:val="20"/>
      <w:szCs w:val="20"/>
    </w:rPr>
  </w:style>
  <w:style w:type="paragraph" w:styleId="Revision">
    <w:name w:val="Revision"/>
    <w:hidden/>
    <w:uiPriority w:val="99"/>
    <w:semiHidden/>
    <w:rsid w:val="003A23CA"/>
    <w:rPr>
      <w:rFonts w:ascii="Times New Roman" w:hAnsi="Times New Roman" w:cs="Times New Roman"/>
    </w:rPr>
  </w:style>
  <w:style w:type="paragraph" w:styleId="Footer">
    <w:name w:val="footer"/>
    <w:basedOn w:val="Normal"/>
    <w:link w:val="FooterChar"/>
    <w:uiPriority w:val="99"/>
    <w:unhideWhenUsed/>
    <w:rsid w:val="005379F8"/>
    <w:pPr>
      <w:tabs>
        <w:tab w:val="center" w:pos="4513"/>
        <w:tab w:val="right" w:pos="9026"/>
      </w:tabs>
    </w:pPr>
  </w:style>
  <w:style w:type="character" w:customStyle="1" w:styleId="FooterChar">
    <w:name w:val="Footer Char"/>
    <w:basedOn w:val="DefaultParagraphFont"/>
    <w:link w:val="Footer"/>
    <w:uiPriority w:val="99"/>
    <w:rsid w:val="005379F8"/>
    <w:rPr>
      <w:rFonts w:ascii="Times New Roman" w:hAnsi="Times New Roman" w:cs="Times New Roman"/>
    </w:rPr>
  </w:style>
  <w:style w:type="character" w:styleId="PageNumber">
    <w:name w:val="page number"/>
    <w:basedOn w:val="DefaultParagraphFont"/>
    <w:uiPriority w:val="99"/>
    <w:semiHidden/>
    <w:unhideWhenUsed/>
    <w:rsid w:val="00537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04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21</Pages>
  <Words>3100</Words>
  <Characters>17671</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Y.Aleksyeyeva</cp:lastModifiedBy>
  <cp:revision>4</cp:revision>
  <cp:lastPrinted>2017-11-28T10:49:00Z</cp:lastPrinted>
  <dcterms:created xsi:type="dcterms:W3CDTF">2017-11-30T06:28:00Z</dcterms:created>
  <dcterms:modified xsi:type="dcterms:W3CDTF">2017-12-01T11:53:00Z</dcterms:modified>
</cp:coreProperties>
</file>