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A972" w14:textId="77777777" w:rsidR="000A1E00" w:rsidRPr="0075329B" w:rsidRDefault="000A1E00" w:rsidP="000A1E00">
      <w:pPr>
        <w:pStyle w:val="Heading1"/>
        <w:spacing w:before="0"/>
        <w:jc w:val="right"/>
        <w:rPr>
          <w:rFonts w:ascii="Times New Roman" w:hAnsi="Times New Roman" w:cs="Times New Roman"/>
          <w:i/>
          <w:iCs/>
        </w:rPr>
      </w:pPr>
      <w:r w:rsidRPr="0075329B">
        <w:rPr>
          <w:rFonts w:ascii="Times New Roman" w:hAnsi="Times New Roman" w:cs="Times New Roman"/>
          <w:i/>
          <w:iCs/>
        </w:rPr>
        <w:t>ПРОЕКТ</w:t>
      </w:r>
    </w:p>
    <w:p w14:paraId="60416FD3" w14:textId="77777777" w:rsidR="000A1E00" w:rsidRPr="0075329B" w:rsidRDefault="000A1E00" w:rsidP="000A1E00">
      <w:pPr>
        <w:pStyle w:val="Heading1"/>
        <w:spacing w:before="0"/>
        <w:jc w:val="center"/>
        <w:rPr>
          <w:rFonts w:ascii="Times New Roman" w:hAnsi="Times New Roman" w:cs="Times New Roman"/>
        </w:rPr>
      </w:pPr>
      <w:r w:rsidRPr="0075329B">
        <w:rPr>
          <w:rFonts w:ascii="Times New Roman" w:hAnsi="Times New Roman" w:cs="Times New Roman"/>
        </w:rPr>
        <w:t>Таблиця відповідності</w:t>
      </w:r>
    </w:p>
    <w:p w14:paraId="496BE3C5" w14:textId="203BF7F2" w:rsidR="000A1E00" w:rsidRPr="0075329B" w:rsidRDefault="000A1E00" w:rsidP="000A1E00">
      <w:pPr>
        <w:pStyle w:val="Heading1"/>
        <w:spacing w:before="0"/>
        <w:jc w:val="center"/>
        <w:rPr>
          <w:rFonts w:ascii="Times New Roman" w:hAnsi="Times New Roman" w:cs="Times New Roman"/>
        </w:rPr>
      </w:pPr>
      <w:r w:rsidRPr="0075329B">
        <w:rPr>
          <w:rFonts w:ascii="Times New Roman" w:hAnsi="Times New Roman" w:cs="Times New Roman"/>
        </w:rPr>
        <w:t>державної політики України у сфері управління лісами</w:t>
      </w:r>
    </w:p>
    <w:p w14:paraId="4B0DC88B" w14:textId="77777777" w:rsidR="000A1E00" w:rsidRPr="0075329B" w:rsidRDefault="000A1E00" w:rsidP="000A1E00">
      <w:pPr>
        <w:pStyle w:val="Heading1"/>
        <w:spacing w:before="0"/>
        <w:jc w:val="center"/>
        <w:rPr>
          <w:rFonts w:ascii="Times New Roman" w:hAnsi="Times New Roman" w:cs="Times New Roman"/>
        </w:rPr>
      </w:pPr>
      <w:r w:rsidRPr="0075329B">
        <w:rPr>
          <w:rFonts w:ascii="Times New Roman" w:hAnsi="Times New Roman" w:cs="Times New Roman"/>
        </w:rPr>
        <w:t>пріоритетам та цілям Європейського зеленого курсу</w:t>
      </w:r>
    </w:p>
    <w:p w14:paraId="3046153D" w14:textId="4120216A" w:rsidR="000938A7" w:rsidRPr="0075329B" w:rsidRDefault="000938A7" w:rsidP="00863D4F">
      <w:pPr>
        <w:rPr>
          <w:rFonts w:ascii="Times" w:hAnsi="Times"/>
          <w:sz w:val="22"/>
          <w:szCs w:val="22"/>
        </w:rPr>
      </w:pPr>
    </w:p>
    <w:p w14:paraId="7DCD6BBD" w14:textId="73809F77" w:rsidR="006823BA" w:rsidRPr="0075329B" w:rsidRDefault="006823BA" w:rsidP="002551A7">
      <w:pPr>
        <w:jc w:val="both"/>
        <w:rPr>
          <w:rFonts w:ascii="Times" w:hAnsi="Times"/>
          <w:i/>
          <w:iCs/>
          <w:sz w:val="22"/>
          <w:szCs w:val="22"/>
        </w:rPr>
      </w:pPr>
      <w:r w:rsidRPr="0075329B">
        <w:rPr>
          <w:rFonts w:ascii="Times" w:hAnsi="Times"/>
          <w:b/>
          <w:i/>
          <w:iCs/>
          <w:sz w:val="22"/>
          <w:szCs w:val="22"/>
        </w:rPr>
        <w:t>Резюме відповідності:</w:t>
      </w:r>
      <w:r w:rsidRPr="0075329B">
        <w:rPr>
          <w:rFonts w:ascii="Times" w:hAnsi="Times"/>
          <w:i/>
          <w:iCs/>
          <w:sz w:val="22"/>
          <w:szCs w:val="22"/>
        </w:rPr>
        <w:t xml:space="preserve"> </w:t>
      </w:r>
      <w:r w:rsidR="00435D4B" w:rsidRPr="0075329B">
        <w:rPr>
          <w:rFonts w:ascii="Times" w:hAnsi="Times"/>
          <w:i/>
          <w:iCs/>
          <w:sz w:val="22"/>
          <w:szCs w:val="22"/>
        </w:rPr>
        <w:t xml:space="preserve">Міністерство захисту довкілля та природних ресурсів </w:t>
      </w:r>
      <w:r w:rsidR="002551A7" w:rsidRPr="0075329B">
        <w:rPr>
          <w:rFonts w:ascii="Times" w:hAnsi="Times"/>
          <w:i/>
          <w:iCs/>
          <w:sz w:val="22"/>
          <w:szCs w:val="22"/>
        </w:rPr>
        <w:t xml:space="preserve">України </w:t>
      </w:r>
      <w:r w:rsidR="00435D4B" w:rsidRPr="0075329B">
        <w:rPr>
          <w:rFonts w:ascii="Times" w:hAnsi="Times"/>
          <w:i/>
          <w:iCs/>
          <w:sz w:val="22"/>
          <w:szCs w:val="22"/>
        </w:rPr>
        <w:t>досить швидко відреагувало</w:t>
      </w:r>
      <w:r w:rsidR="002551A7" w:rsidRPr="0075329B">
        <w:rPr>
          <w:rFonts w:ascii="Times" w:hAnsi="Times"/>
          <w:i/>
          <w:iCs/>
          <w:sz w:val="22"/>
          <w:szCs w:val="22"/>
        </w:rPr>
        <w:t xml:space="preserve"> на декларативні заяви ЄС </w:t>
      </w:r>
      <w:r w:rsidR="00435D4B" w:rsidRPr="0075329B">
        <w:rPr>
          <w:rFonts w:ascii="Times" w:hAnsi="Times"/>
          <w:i/>
          <w:iCs/>
          <w:sz w:val="22"/>
          <w:szCs w:val="22"/>
        </w:rPr>
        <w:t xml:space="preserve">щодо цілей Європейського зеленого курсу </w:t>
      </w:r>
      <w:r w:rsidR="002551A7" w:rsidRPr="0075329B">
        <w:rPr>
          <w:rFonts w:ascii="Times" w:hAnsi="Times"/>
          <w:i/>
          <w:iCs/>
          <w:sz w:val="22"/>
          <w:szCs w:val="22"/>
        </w:rPr>
        <w:t xml:space="preserve">у сфері управління лісами. </w:t>
      </w:r>
      <w:r w:rsidR="006F0200" w:rsidRPr="0075329B">
        <w:rPr>
          <w:rFonts w:ascii="Times" w:hAnsi="Times"/>
          <w:i/>
          <w:iCs/>
          <w:sz w:val="22"/>
          <w:szCs w:val="22"/>
        </w:rPr>
        <w:t>На сьогодні</w:t>
      </w:r>
      <w:r w:rsidR="002551A7" w:rsidRPr="0075329B">
        <w:rPr>
          <w:rFonts w:ascii="Times" w:hAnsi="Times"/>
          <w:i/>
          <w:iCs/>
          <w:sz w:val="22"/>
          <w:szCs w:val="22"/>
        </w:rPr>
        <w:t>, за своїм обсягом задекларовані (але ще на затверджені остаточно) Україною цілі навіть дещо випереджають відповідні цілі ЄС</w:t>
      </w:r>
      <w:r w:rsidR="00435D4B" w:rsidRPr="0075329B">
        <w:rPr>
          <w:rFonts w:ascii="Times" w:hAnsi="Times"/>
          <w:i/>
          <w:iCs/>
          <w:sz w:val="22"/>
          <w:szCs w:val="22"/>
        </w:rPr>
        <w:t>, заявлені в рамках ЄЗК</w:t>
      </w:r>
      <w:r w:rsidR="002551A7" w:rsidRPr="0075329B">
        <w:rPr>
          <w:rFonts w:ascii="Times" w:hAnsi="Times"/>
          <w:i/>
          <w:iCs/>
          <w:sz w:val="22"/>
          <w:szCs w:val="22"/>
        </w:rPr>
        <w:t xml:space="preserve">. В основному, таке випередження відбувається завдяки </w:t>
      </w:r>
      <w:r w:rsidR="00435D4B" w:rsidRPr="0075329B">
        <w:rPr>
          <w:rFonts w:ascii="Times" w:hAnsi="Times"/>
          <w:i/>
          <w:iCs/>
          <w:sz w:val="22"/>
          <w:szCs w:val="22"/>
        </w:rPr>
        <w:t xml:space="preserve">оперативній </w:t>
      </w:r>
      <w:r w:rsidR="002551A7" w:rsidRPr="0075329B">
        <w:rPr>
          <w:rFonts w:ascii="Times" w:hAnsi="Times"/>
          <w:i/>
          <w:iCs/>
          <w:sz w:val="22"/>
          <w:szCs w:val="22"/>
        </w:rPr>
        <w:t xml:space="preserve"> розробці Україною Національної стратегії управління лісами до 2035 року, по робочій версії якої Міндовкілля ще наприкінці 2020 року розпочало процедуру стратегічної екологічної оцінки.</w:t>
      </w:r>
      <w:r w:rsidR="00020716" w:rsidRPr="0075329B">
        <w:rPr>
          <w:rFonts w:ascii="Times" w:hAnsi="Times"/>
          <w:i/>
          <w:iCs/>
          <w:sz w:val="22"/>
          <w:szCs w:val="22"/>
        </w:rPr>
        <w:t xml:space="preserve"> Ця стратегія</w:t>
      </w:r>
      <w:r w:rsidR="002551A7" w:rsidRPr="0075329B">
        <w:rPr>
          <w:rFonts w:ascii="Times" w:hAnsi="Times"/>
          <w:i/>
          <w:iCs/>
          <w:sz w:val="22"/>
          <w:szCs w:val="22"/>
        </w:rPr>
        <w:t xml:space="preserve"> </w:t>
      </w:r>
      <w:r w:rsidR="00020716" w:rsidRPr="0075329B">
        <w:rPr>
          <w:rFonts w:ascii="Times" w:hAnsi="Times"/>
          <w:i/>
          <w:iCs/>
          <w:sz w:val="22"/>
          <w:szCs w:val="22"/>
        </w:rPr>
        <w:t xml:space="preserve">передбачає низку кроків щодо збереження </w:t>
      </w:r>
      <w:proofErr w:type="spellStart"/>
      <w:r w:rsidR="00020716" w:rsidRPr="0075329B">
        <w:rPr>
          <w:rFonts w:ascii="Times" w:hAnsi="Times"/>
          <w:i/>
          <w:iCs/>
          <w:sz w:val="22"/>
          <w:szCs w:val="22"/>
        </w:rPr>
        <w:t>біорізноманіття</w:t>
      </w:r>
      <w:proofErr w:type="spellEnd"/>
      <w:r w:rsidR="00020716" w:rsidRPr="0075329B">
        <w:rPr>
          <w:rFonts w:ascii="Times" w:hAnsi="Times"/>
          <w:i/>
          <w:iCs/>
          <w:sz w:val="22"/>
          <w:szCs w:val="22"/>
        </w:rPr>
        <w:t xml:space="preserve"> та посилення кліматичної ролі лісів і їх адаптації до зміни клімату. </w:t>
      </w:r>
      <w:r w:rsidR="002551A7" w:rsidRPr="0075329B">
        <w:rPr>
          <w:rFonts w:ascii="Times" w:hAnsi="Times"/>
          <w:i/>
          <w:iCs/>
          <w:sz w:val="22"/>
          <w:szCs w:val="22"/>
        </w:rPr>
        <w:t xml:space="preserve">Натомість, Європейська комісія надала на публічне обговорення лише </w:t>
      </w:r>
      <w:r w:rsidR="009D585C" w:rsidRPr="0075329B">
        <w:rPr>
          <w:rFonts w:ascii="Times" w:hAnsi="Times"/>
          <w:i/>
          <w:iCs/>
          <w:sz w:val="22"/>
          <w:szCs w:val="22"/>
        </w:rPr>
        <w:t>дорожню карту (</w:t>
      </w:r>
      <w:proofErr w:type="spellStart"/>
      <w:r w:rsidR="009D585C" w:rsidRPr="0075329B">
        <w:rPr>
          <w:rFonts w:ascii="Times" w:hAnsi="Times"/>
          <w:i/>
          <w:iCs/>
          <w:sz w:val="22"/>
          <w:szCs w:val="22"/>
        </w:rPr>
        <w:t>Roadmap</w:t>
      </w:r>
      <w:proofErr w:type="spellEnd"/>
      <w:r w:rsidR="009D585C" w:rsidRPr="0075329B">
        <w:rPr>
          <w:rFonts w:ascii="Times" w:hAnsi="Times"/>
          <w:i/>
          <w:iCs/>
          <w:sz w:val="22"/>
          <w:szCs w:val="22"/>
        </w:rPr>
        <w:t xml:space="preserve">) Лісової стратегії. </w:t>
      </w:r>
      <w:r w:rsidR="00435D4B" w:rsidRPr="0075329B">
        <w:rPr>
          <w:rFonts w:ascii="Times" w:hAnsi="Times"/>
          <w:i/>
          <w:iCs/>
          <w:sz w:val="22"/>
          <w:szCs w:val="22"/>
        </w:rPr>
        <w:t xml:space="preserve">Тому, наведені нижче оцінки </w:t>
      </w:r>
      <w:r w:rsidR="004B56DB" w:rsidRPr="0075329B">
        <w:rPr>
          <w:rFonts w:ascii="Times" w:hAnsi="Times"/>
          <w:i/>
          <w:iCs/>
          <w:sz w:val="22"/>
          <w:szCs w:val="22"/>
        </w:rPr>
        <w:t>та порівняння не є остаточними і протягом 2021-2022 років мають бути скориговані, після остаточного затвердження всіх стратегічних документів України та ЄС, що стосуються управління лісами.</w:t>
      </w:r>
    </w:p>
    <w:p w14:paraId="5FF22E07" w14:textId="77777777" w:rsidR="006823BA" w:rsidRPr="0075329B" w:rsidRDefault="006823BA" w:rsidP="00863D4F">
      <w:pPr>
        <w:rPr>
          <w:rFonts w:ascii="Times" w:hAnsi="Times"/>
          <w:sz w:val="22"/>
          <w:szCs w:val="22"/>
        </w:rPr>
      </w:pPr>
    </w:p>
    <w:tbl>
      <w:tblPr>
        <w:tblStyle w:val="TableGrid"/>
        <w:tblW w:w="144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4110"/>
        <w:gridCol w:w="4094"/>
        <w:gridCol w:w="2268"/>
        <w:gridCol w:w="3544"/>
      </w:tblGrid>
      <w:tr w:rsidR="00863D4F" w:rsidRPr="0075329B" w14:paraId="276303DD" w14:textId="77777777" w:rsidTr="00972D8F">
        <w:tc>
          <w:tcPr>
            <w:tcW w:w="438" w:type="dxa"/>
          </w:tcPr>
          <w:p w14:paraId="5794430D" w14:textId="77777777" w:rsidR="00863D4F" w:rsidRPr="0075329B" w:rsidRDefault="00863D4F" w:rsidP="00080402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5329B">
              <w:rPr>
                <w:rFonts w:ascii="Times" w:hAnsi="Times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10" w:type="dxa"/>
          </w:tcPr>
          <w:p w14:paraId="39E15CC6" w14:textId="77777777" w:rsidR="006F0200" w:rsidRPr="0075329B" w:rsidRDefault="00863D4F" w:rsidP="006F0200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5329B">
              <w:rPr>
                <w:rFonts w:ascii="Times" w:hAnsi="Times"/>
                <w:b/>
                <w:bCs/>
                <w:sz w:val="22"/>
                <w:szCs w:val="22"/>
              </w:rPr>
              <w:t xml:space="preserve">Пріоритет/ціль </w:t>
            </w:r>
            <w:r w:rsidR="006F0200" w:rsidRPr="0075329B">
              <w:rPr>
                <w:rFonts w:ascii="Times" w:hAnsi="Times"/>
                <w:b/>
                <w:bCs/>
                <w:sz w:val="22"/>
                <w:szCs w:val="22"/>
              </w:rPr>
              <w:t>Європейського зеленого курсу</w:t>
            </w:r>
          </w:p>
          <w:p w14:paraId="6DDD2FFF" w14:textId="15B0E3E9" w:rsidR="00863D4F" w:rsidRPr="0075329B" w:rsidRDefault="00863D4F" w:rsidP="006F0200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094" w:type="dxa"/>
          </w:tcPr>
          <w:p w14:paraId="59874784" w14:textId="7032EAF2" w:rsidR="00863D4F" w:rsidRPr="0075329B" w:rsidRDefault="00863D4F" w:rsidP="00080402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5329B">
              <w:rPr>
                <w:rFonts w:ascii="Times" w:hAnsi="Times"/>
                <w:b/>
                <w:bCs/>
                <w:sz w:val="22"/>
                <w:szCs w:val="22"/>
              </w:rPr>
              <w:t>Відповідник у документах державного планування України</w:t>
            </w:r>
          </w:p>
        </w:tc>
        <w:tc>
          <w:tcPr>
            <w:tcW w:w="2268" w:type="dxa"/>
          </w:tcPr>
          <w:p w14:paraId="35CF72CA" w14:textId="77777777" w:rsidR="00863D4F" w:rsidRPr="0075329B" w:rsidRDefault="00863D4F" w:rsidP="00080402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5329B">
              <w:rPr>
                <w:rFonts w:ascii="Times" w:hAnsi="Times"/>
                <w:b/>
                <w:bCs/>
                <w:sz w:val="22"/>
                <w:szCs w:val="22"/>
              </w:rPr>
              <w:t>Оцінка відповідності</w:t>
            </w:r>
          </w:p>
          <w:p w14:paraId="72736F12" w14:textId="460A993D" w:rsidR="00863D4F" w:rsidRPr="0075329B" w:rsidRDefault="00863D4F" w:rsidP="00080402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5329B">
              <w:rPr>
                <w:rFonts w:ascii="Times" w:hAnsi="Times"/>
                <w:b/>
                <w:bCs/>
                <w:sz w:val="22"/>
                <w:szCs w:val="22"/>
              </w:rPr>
              <w:t>(3 – повністю відповідає, 2 – відповідає на 50</w:t>
            </w:r>
            <w:r w:rsidR="00972D8F" w:rsidRPr="0075329B">
              <w:rPr>
                <w:rFonts w:ascii="Times" w:hAnsi="Times"/>
                <w:b/>
                <w:bCs/>
                <w:sz w:val="22"/>
                <w:szCs w:val="22"/>
              </w:rPr>
              <w:t xml:space="preserve">+ </w:t>
            </w:r>
            <w:r w:rsidRPr="0075329B">
              <w:rPr>
                <w:rFonts w:ascii="Times" w:hAnsi="Times"/>
                <w:b/>
                <w:bCs/>
                <w:sz w:val="22"/>
                <w:szCs w:val="22"/>
              </w:rPr>
              <w:t xml:space="preserve">%, 1 – відповідає на менш ніж </w:t>
            </w:r>
            <w:r w:rsidR="00621B51" w:rsidRPr="0075329B">
              <w:rPr>
                <w:rFonts w:ascii="Times" w:hAnsi="Times"/>
                <w:b/>
                <w:bCs/>
                <w:sz w:val="22"/>
                <w:szCs w:val="22"/>
              </w:rPr>
              <w:t xml:space="preserve">на </w:t>
            </w:r>
            <w:r w:rsidRPr="0075329B">
              <w:rPr>
                <w:rFonts w:ascii="Times" w:hAnsi="Times"/>
                <w:b/>
                <w:bCs/>
                <w:sz w:val="22"/>
                <w:szCs w:val="22"/>
              </w:rPr>
              <w:t>50 %, 0 – відсутній у державній політиці України)</w:t>
            </w:r>
          </w:p>
        </w:tc>
        <w:tc>
          <w:tcPr>
            <w:tcW w:w="3544" w:type="dxa"/>
          </w:tcPr>
          <w:p w14:paraId="5178EE83" w14:textId="6C6C27FE" w:rsidR="00863D4F" w:rsidRPr="0075329B" w:rsidRDefault="00621B51" w:rsidP="00080402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5329B">
              <w:rPr>
                <w:rFonts w:ascii="Times" w:hAnsi="Times"/>
                <w:b/>
                <w:bCs/>
                <w:sz w:val="22"/>
                <w:szCs w:val="22"/>
              </w:rPr>
              <w:t>Обґрунтування оцінки відповідності</w:t>
            </w:r>
          </w:p>
        </w:tc>
      </w:tr>
      <w:tr w:rsidR="00863D4F" w:rsidRPr="0075329B" w14:paraId="0D7E1359" w14:textId="77777777" w:rsidTr="00972D8F">
        <w:tc>
          <w:tcPr>
            <w:tcW w:w="14454" w:type="dxa"/>
            <w:gridSpan w:val="5"/>
            <w:shd w:val="clear" w:color="auto" w:fill="D9D9D9" w:themeFill="background1" w:themeFillShade="D9"/>
          </w:tcPr>
          <w:p w14:paraId="32432F92" w14:textId="77777777" w:rsidR="006F0200" w:rsidRPr="0075329B" w:rsidRDefault="006F0200" w:rsidP="006F0200">
            <w:pPr>
              <w:pStyle w:val="ListParagraph"/>
              <w:ind w:left="360"/>
              <w:rPr>
                <w:rFonts w:ascii="Times" w:hAnsi="Times"/>
                <w:i/>
                <w:iCs/>
                <w:sz w:val="22"/>
                <w:szCs w:val="22"/>
              </w:rPr>
            </w:pPr>
            <w:bookmarkStart w:id="0" w:name="_Hlk69457030"/>
          </w:p>
          <w:p w14:paraId="1EBCE6F0" w14:textId="7E9B98D5" w:rsidR="00863D4F" w:rsidRPr="0075329B" w:rsidRDefault="00972D8F" w:rsidP="006F0200">
            <w:pPr>
              <w:pStyle w:val="ListParagraph"/>
              <w:numPr>
                <w:ilvl w:val="1"/>
                <w:numId w:val="6"/>
              </w:numPr>
              <w:jc w:val="center"/>
              <w:rPr>
                <w:rFonts w:ascii="Times" w:hAnsi="Times"/>
                <w:i/>
                <w:iCs/>
                <w:sz w:val="22"/>
                <w:szCs w:val="22"/>
              </w:rPr>
            </w:pPr>
            <w:proofErr w:type="spellStart"/>
            <w:r w:rsidRPr="0075329B">
              <w:rPr>
                <w:rFonts w:ascii="Times" w:hAnsi="Times"/>
                <w:i/>
                <w:iCs/>
                <w:sz w:val="22"/>
                <w:szCs w:val="22"/>
              </w:rPr>
              <w:t>Roadmap</w:t>
            </w:r>
            <w:proofErr w:type="spellEnd"/>
            <w:r w:rsidR="00AC01E3" w:rsidRPr="0075329B">
              <w:rPr>
                <w:rFonts w:ascii="Times" w:hAnsi="Times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C01E3" w:rsidRPr="0075329B">
              <w:rPr>
                <w:rFonts w:ascii="Times" w:hAnsi="Times"/>
                <w:i/>
                <w:iCs/>
                <w:sz w:val="22"/>
                <w:szCs w:val="22"/>
              </w:rPr>
              <w:t>of</w:t>
            </w:r>
            <w:proofErr w:type="spellEnd"/>
            <w:r w:rsidR="00AC01E3" w:rsidRPr="0075329B">
              <w:rPr>
                <w:rFonts w:ascii="Times" w:hAnsi="Times"/>
                <w:i/>
                <w:iCs/>
                <w:sz w:val="22"/>
                <w:szCs w:val="22"/>
              </w:rPr>
              <w:t xml:space="preserve"> </w:t>
            </w:r>
            <w:r w:rsidRPr="0075329B">
              <w:rPr>
                <w:rFonts w:ascii="Times" w:hAnsi="Times"/>
                <w:i/>
                <w:iCs/>
                <w:sz w:val="22"/>
                <w:szCs w:val="22"/>
              </w:rPr>
              <w:t xml:space="preserve">EU </w:t>
            </w:r>
            <w:proofErr w:type="spellStart"/>
            <w:r w:rsidRPr="0075329B">
              <w:rPr>
                <w:rFonts w:ascii="Times" w:hAnsi="Times"/>
                <w:i/>
                <w:iCs/>
                <w:sz w:val="22"/>
                <w:szCs w:val="22"/>
              </w:rPr>
              <w:t>Forest</w:t>
            </w:r>
            <w:proofErr w:type="spellEnd"/>
            <w:r w:rsidRPr="0075329B">
              <w:rPr>
                <w:rFonts w:ascii="Times" w:hAnsi="Times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i/>
                <w:iCs/>
                <w:sz w:val="22"/>
                <w:szCs w:val="22"/>
              </w:rPr>
              <w:t>Strategy</w:t>
            </w:r>
            <w:bookmarkEnd w:id="0"/>
            <w:proofErr w:type="spellEnd"/>
            <w:r w:rsidRPr="0075329B">
              <w:rPr>
                <w:rFonts w:ascii="Times" w:hAnsi="Times"/>
                <w:i/>
                <w:iCs/>
                <w:sz w:val="22"/>
                <w:szCs w:val="22"/>
              </w:rPr>
              <w:t xml:space="preserve"> (Дорожня </w:t>
            </w:r>
            <w:r w:rsidR="00D108BE" w:rsidRPr="0075329B">
              <w:rPr>
                <w:rFonts w:ascii="Times" w:hAnsi="Times"/>
                <w:i/>
                <w:iCs/>
                <w:sz w:val="22"/>
                <w:szCs w:val="22"/>
              </w:rPr>
              <w:t>мапа</w:t>
            </w:r>
            <w:r w:rsidRPr="0075329B">
              <w:rPr>
                <w:rFonts w:ascii="Times" w:hAnsi="Times"/>
                <w:i/>
                <w:iCs/>
                <w:sz w:val="22"/>
                <w:szCs w:val="22"/>
              </w:rPr>
              <w:t xml:space="preserve"> Лісової стратегії ЄС)</w:t>
            </w:r>
          </w:p>
          <w:p w14:paraId="1C97FAD2" w14:textId="0A594BC8" w:rsidR="006F0200" w:rsidRPr="0075329B" w:rsidRDefault="006F0200" w:rsidP="006F0200">
            <w:pPr>
              <w:pStyle w:val="ListParagraph"/>
              <w:ind w:left="360"/>
              <w:rPr>
                <w:rFonts w:ascii="Times" w:hAnsi="Times"/>
                <w:i/>
                <w:iCs/>
                <w:sz w:val="22"/>
                <w:szCs w:val="22"/>
              </w:rPr>
            </w:pPr>
          </w:p>
        </w:tc>
      </w:tr>
      <w:tr w:rsidR="00237152" w:rsidRPr="0075329B" w14:paraId="4BB673D1" w14:textId="77777777" w:rsidTr="00972D8F">
        <w:tc>
          <w:tcPr>
            <w:tcW w:w="438" w:type="dxa"/>
          </w:tcPr>
          <w:p w14:paraId="160B4278" w14:textId="4732A2F5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1.</w:t>
            </w:r>
          </w:p>
        </w:tc>
        <w:tc>
          <w:tcPr>
            <w:tcW w:w="4110" w:type="dxa"/>
          </w:tcPr>
          <w:p w14:paraId="4901A64C" w14:textId="64552847" w:rsidR="00237152" w:rsidRPr="0075329B" w:rsidRDefault="00237152" w:rsidP="00237152">
            <w:pPr>
              <w:pStyle w:val="Default"/>
              <w:rPr>
                <w:rFonts w:ascii="Times" w:hAnsi="Times"/>
                <w:sz w:val="22"/>
                <w:szCs w:val="22"/>
                <w:lang w:val="uk-UA"/>
              </w:rPr>
            </w:pP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Strategy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will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contribute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to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meet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EU’s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international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commitments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an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established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consistent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holistic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approach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on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forests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(2030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sustainability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agenda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Paris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Agreement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Convention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on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Biological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Diversity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Convention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to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Combat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  <w:lang w:val="uk-UA"/>
              </w:rPr>
              <w:t>Desertification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  <w:lang w:val="uk-UA"/>
              </w:rPr>
              <w:t>)</w:t>
            </w:r>
          </w:p>
        </w:tc>
        <w:tc>
          <w:tcPr>
            <w:tcW w:w="4094" w:type="dxa"/>
          </w:tcPr>
          <w:p w14:paraId="205D438D" w14:textId="77777777" w:rsidR="0075329B" w:rsidRDefault="0075329B" w:rsidP="00237152">
            <w:pPr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2.1</w:t>
            </w:r>
          </w:p>
          <w:p w14:paraId="5F558DFF" w14:textId="04508725" w:rsidR="00237152" w:rsidRPr="0075329B" w:rsidRDefault="0075329B" w:rsidP="0023715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Відповідно до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Проєкт</w:t>
            </w:r>
            <w:r w:rsidRPr="0075329B">
              <w:rPr>
                <w:rFonts w:ascii="Times" w:hAnsi="Times"/>
                <w:sz w:val="22"/>
                <w:szCs w:val="22"/>
              </w:rPr>
              <w:t>у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Державної стратегії управління лісами України до 2035 року</w:t>
            </w:r>
            <w:r w:rsidRPr="0075329B">
              <w:rPr>
                <w:rFonts w:ascii="Times" w:hAnsi="Times"/>
                <w:sz w:val="22"/>
                <w:szCs w:val="22"/>
              </w:rPr>
              <w:t xml:space="preserve"> (надалі 2.1) ця с</w:t>
            </w:r>
            <w:r w:rsidR="00237152" w:rsidRPr="0075329B">
              <w:rPr>
                <w:rFonts w:ascii="Times" w:hAnsi="Times"/>
                <w:sz w:val="22"/>
                <w:szCs w:val="22"/>
              </w:rPr>
              <w:t xml:space="preserve">тратегія розроблена з урахуванням потреби здійснення єдиної державної політики у сфері лісових відносин, змін, які відбулися у лісовому </w:t>
            </w:r>
            <w:r w:rsidR="00237152" w:rsidRPr="0075329B">
              <w:rPr>
                <w:rFonts w:ascii="Times" w:hAnsi="Times"/>
                <w:sz w:val="22"/>
                <w:szCs w:val="22"/>
              </w:rPr>
              <w:lastRenderedPageBreak/>
              <w:t>господарстві за останні роки, та міжнародних зобов’язань України</w:t>
            </w:r>
          </w:p>
        </w:tc>
        <w:tc>
          <w:tcPr>
            <w:tcW w:w="2268" w:type="dxa"/>
          </w:tcPr>
          <w:p w14:paraId="7035480D" w14:textId="5292E24A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</w:tcPr>
          <w:p w14:paraId="50B4BF5F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Серед зобов’язань згадується Конвенція про збереження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біорізноманіття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Цілі сталого розвитку 2030, однак відсутня Паризька угода та Конвенція </w:t>
            </w:r>
          </w:p>
          <w:p w14:paraId="471A0173" w14:textId="6D9E166C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про боротьбу з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опустелюванням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237152" w:rsidRPr="0075329B" w14:paraId="73297C04" w14:textId="77777777" w:rsidTr="00972D8F">
        <w:tc>
          <w:tcPr>
            <w:tcW w:w="438" w:type="dxa"/>
          </w:tcPr>
          <w:p w14:paraId="3185E701" w14:textId="7B998CC7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2.</w:t>
            </w:r>
          </w:p>
        </w:tc>
        <w:tc>
          <w:tcPr>
            <w:tcW w:w="4110" w:type="dxa"/>
          </w:tcPr>
          <w:p w14:paraId="78FBCF2D" w14:textId="10B7C646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all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remaining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primary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old-growth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forests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EU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need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to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be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strictly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protected</w:t>
            </w:r>
            <w:proofErr w:type="spellEnd"/>
          </w:p>
        </w:tc>
        <w:tc>
          <w:tcPr>
            <w:tcW w:w="4094" w:type="dxa"/>
          </w:tcPr>
          <w:p w14:paraId="6405A1A1" w14:textId="77777777" w:rsidR="0075329B" w:rsidRDefault="00237152" w:rsidP="0023715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2.1 </w:t>
            </w:r>
          </w:p>
          <w:p w14:paraId="6F47EBEE" w14:textId="283DC043" w:rsidR="00237152" w:rsidRPr="0075329B" w:rsidRDefault="00237152" w:rsidP="0023715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Всі ідентифіковані праліси,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квазіпраліси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та природні ліси мають підлягати охороні в складі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пралісових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пам’яток природи, природних заповідників, заповідних зон національних парків або біосферних заповідників, із дотриманням режиму повного не втручання в природні процеси.</w:t>
            </w:r>
          </w:p>
        </w:tc>
        <w:tc>
          <w:tcPr>
            <w:tcW w:w="2268" w:type="dxa"/>
          </w:tcPr>
          <w:p w14:paraId="3532E998" w14:textId="0967CC34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7D3847DA" w14:textId="799F8DCA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Ціль повністю відповідає цілі ЄЗК</w:t>
            </w:r>
          </w:p>
        </w:tc>
      </w:tr>
      <w:tr w:rsidR="00237152" w:rsidRPr="0075329B" w14:paraId="0709E16F" w14:textId="77777777" w:rsidTr="00972D8F">
        <w:tc>
          <w:tcPr>
            <w:tcW w:w="438" w:type="dxa"/>
          </w:tcPr>
          <w:p w14:paraId="09D1F713" w14:textId="31718820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3.</w:t>
            </w:r>
          </w:p>
        </w:tc>
        <w:tc>
          <w:tcPr>
            <w:tcW w:w="4110" w:type="dxa"/>
          </w:tcPr>
          <w:p w14:paraId="57005038" w14:textId="31F70A6E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Strategy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will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need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to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have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a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meaningful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protection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restoration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re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-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afforestation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dimension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strong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cooperation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with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foresters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farmers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local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communities</w:t>
            </w:r>
            <w:proofErr w:type="spellEnd"/>
          </w:p>
        </w:tc>
        <w:tc>
          <w:tcPr>
            <w:tcW w:w="4094" w:type="dxa"/>
          </w:tcPr>
          <w:p w14:paraId="2EBCAB49" w14:textId="1703E278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2.1.</w:t>
            </w:r>
          </w:p>
          <w:p w14:paraId="5DD0CC3B" w14:textId="000DDBFA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1. Збереження лісів, що утворилися природним шляхом на деградованих та землях сільськогосподарського призначення, що не обробляються, переведення їх до лісового фонду і стимулювання створення приватної та комунальної власності на таких землях.</w:t>
            </w:r>
          </w:p>
          <w:p w14:paraId="421256A6" w14:textId="2E6EF44C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2. Лісорозведення на деградованих та малопродуктивних землях, виведених з сільськогосподарського обігу, з обов’язковим врахуванням природних умов місцевості і відмовою від заліснення екологічно важливих ділянок степів та лук</w:t>
            </w:r>
          </w:p>
        </w:tc>
        <w:tc>
          <w:tcPr>
            <w:tcW w:w="2268" w:type="dxa"/>
          </w:tcPr>
          <w:p w14:paraId="54930422" w14:textId="3048C6DC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2+</w:t>
            </w:r>
          </w:p>
        </w:tc>
        <w:tc>
          <w:tcPr>
            <w:tcW w:w="3544" w:type="dxa"/>
          </w:tcPr>
          <w:p w14:paraId="2712606C" w14:textId="4B6377AA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В цілому, відновленню лісів в Лісовій стратегії України приділено менше уваги, ніж це планується зробити в рамках ЄЗК. Однак, ціль встановлена і передбачається співпраця з громадами та фермерами (збереження самосійних лісів на землях приватної та комунальної власності)</w:t>
            </w:r>
          </w:p>
        </w:tc>
      </w:tr>
      <w:tr w:rsidR="00237152" w:rsidRPr="0075329B" w14:paraId="5C754527" w14:textId="77777777" w:rsidTr="00972D8F">
        <w:tc>
          <w:tcPr>
            <w:tcW w:w="438" w:type="dxa"/>
          </w:tcPr>
          <w:p w14:paraId="1D3723A5" w14:textId="28FC1224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4. </w:t>
            </w:r>
          </w:p>
        </w:tc>
        <w:tc>
          <w:tcPr>
            <w:tcW w:w="4110" w:type="dxa"/>
          </w:tcPr>
          <w:p w14:paraId="675F3F3D" w14:textId="66F93BDE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Enhance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forest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protection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restoration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to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meet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EU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biodiversity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climate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objectives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decrease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loss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forest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coverage</w:t>
            </w:r>
            <w:proofErr w:type="spellEnd"/>
          </w:p>
        </w:tc>
        <w:tc>
          <w:tcPr>
            <w:tcW w:w="4094" w:type="dxa"/>
          </w:tcPr>
          <w:p w14:paraId="17165713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2.1</w:t>
            </w:r>
          </w:p>
          <w:p w14:paraId="6C2F5260" w14:textId="7A7C8C11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1. Збереження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біорізноманіття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має забезпечуватися через мережу створених об’єктів природно-заповідного фонду, виділених пралісів,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квазіпралісів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та природних лісів, об’єктів Смарагдової мережі, особливо цінних для збереження ділянок, та шляхом врахування специфічних вимог по охороні конкретних видів та оселищ як (і особливо) в межах </w:t>
            </w:r>
            <w:r w:rsidRPr="0075329B">
              <w:rPr>
                <w:rFonts w:ascii="Times" w:hAnsi="Times"/>
                <w:sz w:val="22"/>
                <w:szCs w:val="22"/>
              </w:rPr>
              <w:lastRenderedPageBreak/>
              <w:t>наведених вище об’єктів, так і поза їхніми межами.</w:t>
            </w:r>
          </w:p>
          <w:p w14:paraId="608F971C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2. Збереження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біорізноманіття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на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екосистемному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рівні має забезпечуватися підтримкою та відновленням мозаїки видового та вікового різноманіття лісів, у відповідності з місцевими природними умовами.</w:t>
            </w:r>
          </w:p>
          <w:p w14:paraId="13A71F86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3. Отримання належного охоронюваного статус, зафіксованого у лісогосподарській документації усіма ідентифікованими місцями проживання/зростання охоронюваних видів.</w:t>
            </w:r>
          </w:p>
          <w:p w14:paraId="4C0A003E" w14:textId="3238FD36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4. Поступове зменшення сумарної площі суцільних рубок лісів.</w:t>
            </w:r>
          </w:p>
        </w:tc>
        <w:tc>
          <w:tcPr>
            <w:tcW w:w="2268" w:type="dxa"/>
          </w:tcPr>
          <w:p w14:paraId="36B838BE" w14:textId="44A714C4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</w:tcPr>
          <w:p w14:paraId="5465B248" w14:textId="29F5B6D6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Цілі по збереженню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біорізноманіття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відповідають згаданими для ЄС в контексті Лісової стратегії, однак не вистачає згадки про необхідність збереження лісів для виконання кліматичних зобов’язань.</w:t>
            </w:r>
          </w:p>
        </w:tc>
      </w:tr>
      <w:tr w:rsidR="00237152" w:rsidRPr="0075329B" w14:paraId="00914F64" w14:textId="77777777" w:rsidTr="00972D8F">
        <w:tc>
          <w:tcPr>
            <w:tcW w:w="438" w:type="dxa"/>
          </w:tcPr>
          <w:p w14:paraId="19EAD092" w14:textId="56422A34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5.</w:t>
            </w:r>
          </w:p>
        </w:tc>
        <w:tc>
          <w:tcPr>
            <w:tcW w:w="4110" w:type="dxa"/>
          </w:tcPr>
          <w:p w14:paraId="60503DFD" w14:textId="64924856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Preserve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stocks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increase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EU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carbon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sinks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forests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their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soils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harvested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wood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products</w:t>
            </w:r>
            <w:proofErr w:type="spellEnd"/>
          </w:p>
        </w:tc>
        <w:tc>
          <w:tcPr>
            <w:tcW w:w="4094" w:type="dxa"/>
          </w:tcPr>
          <w:p w14:paraId="08F46787" w14:textId="77777777" w:rsidR="0075329B" w:rsidRDefault="0075329B" w:rsidP="0023715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2.1 </w:t>
            </w:r>
          </w:p>
          <w:p w14:paraId="11BF7951" w14:textId="4519C702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1. Збільшення поглинання й утримання вуглецю лісами: збільшення рівня емісії/поглинання вуглекислого газу лісами України в 2035 році до 75,6 млн тон СO2-еквіваленту/рік.</w:t>
            </w:r>
          </w:p>
          <w:p w14:paraId="016701A9" w14:textId="5D83B7A6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2. Лісоуправління повинно враховувати необхідність підтримання функції накопичення вуглецю. </w:t>
            </w:r>
          </w:p>
        </w:tc>
        <w:tc>
          <w:tcPr>
            <w:tcW w:w="2268" w:type="dxa"/>
          </w:tcPr>
          <w:p w14:paraId="67B74F56" w14:textId="0E0E1FE6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7E6B971E" w14:textId="43486023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Загалом, цілі можна вважати такими, що відповідають цілі ЄЗК, однак не вистачає згадки про підтримку накопичення вуглецю в лісових ґрунтах </w:t>
            </w:r>
          </w:p>
        </w:tc>
      </w:tr>
      <w:tr w:rsidR="00237152" w:rsidRPr="0075329B" w14:paraId="12C08DB9" w14:textId="77777777" w:rsidTr="00972D8F">
        <w:tc>
          <w:tcPr>
            <w:tcW w:w="438" w:type="dxa"/>
          </w:tcPr>
          <w:p w14:paraId="619F5B9C" w14:textId="6DA74691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6.</w:t>
            </w:r>
          </w:p>
        </w:tc>
        <w:tc>
          <w:tcPr>
            <w:tcW w:w="4110" w:type="dxa"/>
          </w:tcPr>
          <w:p w14:paraId="398A56ED" w14:textId="5F0A21D9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Enhance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prevention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disaster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risk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events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damages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secure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forest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resilience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to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incidence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extent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fires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other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natural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hazards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4094" w:type="dxa"/>
          </w:tcPr>
          <w:p w14:paraId="2CED5760" w14:textId="77777777" w:rsid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2.1 </w:t>
            </w:r>
          </w:p>
          <w:p w14:paraId="5FE6F70F" w14:textId="4487857A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1. Збільшення площі лісів, підвищення стійкості та якості лісів, нарощення екологічного та ресурсного потенціалу лісів.</w:t>
            </w:r>
          </w:p>
          <w:p w14:paraId="63968BC3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2. Удосконалення існуючої системи охорони лісів від пожеж, відновлення лісів, пройдених пожежами з метою вирощування стійких, суспільно привабливих лісів та забезпечення </w:t>
            </w:r>
            <w:r w:rsidRPr="0075329B">
              <w:rPr>
                <w:rFonts w:ascii="Times" w:hAnsi="Times"/>
                <w:sz w:val="22"/>
                <w:szCs w:val="22"/>
              </w:rPr>
              <w:lastRenderedPageBreak/>
              <w:t>економічно прибуткового лісового господарства.</w:t>
            </w:r>
          </w:p>
          <w:p w14:paraId="585BFCD1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3. Проводити переформування штучних та похідних лісів у наближені до природних різновікові та мішані ліси в залежності від певних ґрунтово-кліматичних умовах</w:t>
            </w:r>
          </w:p>
          <w:p w14:paraId="47705AB5" w14:textId="77777777" w:rsidR="0075329B" w:rsidRDefault="0075329B" w:rsidP="00237152">
            <w:pPr>
              <w:rPr>
                <w:rFonts w:ascii="Times" w:hAnsi="Times"/>
                <w:sz w:val="22"/>
                <w:szCs w:val="22"/>
              </w:rPr>
            </w:pPr>
          </w:p>
          <w:p w14:paraId="2DC279D7" w14:textId="77777777" w:rsid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2.2 </w:t>
            </w:r>
          </w:p>
          <w:p w14:paraId="718EB8EA" w14:textId="39A29888" w:rsidR="00237152" w:rsidRPr="0075329B" w:rsidRDefault="0075329B" w:rsidP="0023715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Згідно із </w:t>
            </w:r>
            <w:r w:rsidRPr="0075329B">
              <w:rPr>
                <w:rFonts w:ascii="Times" w:hAnsi="Times"/>
                <w:sz w:val="22"/>
                <w:szCs w:val="22"/>
              </w:rPr>
              <w:t>Національни</w:t>
            </w:r>
            <w:r>
              <w:rPr>
                <w:rFonts w:ascii="Times" w:hAnsi="Times"/>
                <w:sz w:val="22"/>
                <w:szCs w:val="22"/>
              </w:rPr>
              <w:t xml:space="preserve">м </w:t>
            </w:r>
            <w:r w:rsidRPr="0075329B">
              <w:rPr>
                <w:rFonts w:ascii="Times" w:hAnsi="Times"/>
                <w:sz w:val="22"/>
                <w:szCs w:val="22"/>
              </w:rPr>
              <w:t>план</w:t>
            </w:r>
            <w:r>
              <w:rPr>
                <w:rFonts w:ascii="Times" w:hAnsi="Times"/>
                <w:sz w:val="22"/>
                <w:szCs w:val="22"/>
              </w:rPr>
              <w:t>ом</w:t>
            </w:r>
            <w:r w:rsidRPr="0075329B">
              <w:rPr>
                <w:rFonts w:ascii="Times" w:hAnsi="Times"/>
                <w:sz w:val="22"/>
                <w:szCs w:val="22"/>
              </w:rPr>
              <w:t xml:space="preserve"> дій з охорони навколишнього природного середовища на період до 2025 року</w:t>
            </w:r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(надалі – 2.2) планується:</w:t>
            </w:r>
          </w:p>
          <w:p w14:paraId="6C6F1CCD" w14:textId="6C4EA03B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1. Розроблення Державної стратегії управління ландшафтними пожежами;</w:t>
            </w:r>
          </w:p>
          <w:p w14:paraId="1F65EB6D" w14:textId="24970000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2. Забезпечення установ природно-заповідного фонду, державних лісогосподарських та лісомисливських підприємств пожежною технікою, протипожежним обладнанням та засобами пожежогасіння.</w:t>
            </w:r>
          </w:p>
          <w:p w14:paraId="0F5C18B7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</w:p>
          <w:p w14:paraId="0B358C94" w14:textId="2011F84B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5ED260" w14:textId="0E6A4F52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</w:tcPr>
          <w:p w14:paraId="70B960B9" w14:textId="0708C19D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Сукупно, 5 наведених цілей повністю відповідають цілі ЄЗК</w:t>
            </w:r>
          </w:p>
        </w:tc>
      </w:tr>
      <w:tr w:rsidR="00237152" w:rsidRPr="0075329B" w14:paraId="263888CA" w14:textId="77777777" w:rsidTr="00972D8F">
        <w:tc>
          <w:tcPr>
            <w:tcW w:w="438" w:type="dxa"/>
          </w:tcPr>
          <w:p w14:paraId="0009B712" w14:textId="6ADD05FD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7.</w:t>
            </w:r>
          </w:p>
        </w:tc>
        <w:tc>
          <w:tcPr>
            <w:tcW w:w="4110" w:type="dxa"/>
          </w:tcPr>
          <w:p w14:paraId="0FC0DE3F" w14:textId="6C4F4FBB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Secure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forest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health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with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a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view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to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changing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climatic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conditions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environmental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degradation</w:t>
            </w:r>
            <w:proofErr w:type="spellEnd"/>
          </w:p>
        </w:tc>
        <w:tc>
          <w:tcPr>
            <w:tcW w:w="4094" w:type="dxa"/>
          </w:tcPr>
          <w:p w14:paraId="751ACCE9" w14:textId="571C36A6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2.1 Адаптація лісів до змін клімату та перехід на наближені до природи методи лісівництва із формуванням лісів природного складу і структури</w:t>
            </w:r>
          </w:p>
        </w:tc>
        <w:tc>
          <w:tcPr>
            <w:tcW w:w="2268" w:type="dxa"/>
          </w:tcPr>
          <w:p w14:paraId="2033ECB8" w14:textId="2F8B9729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030D09AB" w14:textId="72721403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Попри різне формулювання, цілі можна вважати співставними за очікуваними результатами</w:t>
            </w:r>
          </w:p>
        </w:tc>
      </w:tr>
      <w:tr w:rsidR="00237152" w:rsidRPr="0075329B" w14:paraId="35CC1C8C" w14:textId="77777777" w:rsidTr="00972D8F">
        <w:tc>
          <w:tcPr>
            <w:tcW w:w="438" w:type="dxa"/>
          </w:tcPr>
          <w:p w14:paraId="179B24E2" w14:textId="59470790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8.</w:t>
            </w:r>
          </w:p>
        </w:tc>
        <w:tc>
          <w:tcPr>
            <w:tcW w:w="4110" w:type="dxa"/>
          </w:tcPr>
          <w:p w14:paraId="35E29E76" w14:textId="343A8AB8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Support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restoration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damaged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areas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degraded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ecosystems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taking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into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account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projected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climate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conditions</w:t>
            </w:r>
            <w:proofErr w:type="spellEnd"/>
          </w:p>
        </w:tc>
        <w:tc>
          <w:tcPr>
            <w:tcW w:w="4094" w:type="dxa"/>
          </w:tcPr>
          <w:p w14:paraId="6D7ACC99" w14:textId="212B3601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2.1. Відновлення деградованих водно-болотних угідь та торфовищ у складі лісового фонду, а існуючі водно-болотні угіддя у лісах мають бути захищені від осушення та інших негативних факторів, які призводять до їхньої деградації.</w:t>
            </w:r>
          </w:p>
          <w:p w14:paraId="51E5DCB9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518676" w14:textId="777B0E58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3+ </w:t>
            </w:r>
          </w:p>
        </w:tc>
        <w:tc>
          <w:tcPr>
            <w:tcW w:w="3544" w:type="dxa"/>
          </w:tcPr>
          <w:p w14:paraId="24A0543B" w14:textId="4C4BC265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Ціль навіть випереджає зобов’язання ЄЗК, бо у них поки нічого не вказано про відновлення боліт у межах сучасних лісів</w:t>
            </w:r>
          </w:p>
        </w:tc>
      </w:tr>
      <w:tr w:rsidR="00237152" w:rsidRPr="0075329B" w14:paraId="27F7B951" w14:textId="77777777" w:rsidTr="00972D8F">
        <w:tc>
          <w:tcPr>
            <w:tcW w:w="438" w:type="dxa"/>
          </w:tcPr>
          <w:p w14:paraId="726FFAC7" w14:textId="5456C4A9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9.</w:t>
            </w:r>
          </w:p>
        </w:tc>
        <w:tc>
          <w:tcPr>
            <w:tcW w:w="4110" w:type="dxa"/>
          </w:tcPr>
          <w:p w14:paraId="4CF48EEA" w14:textId="4ECF568C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Ensure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sustainable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management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all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EU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forests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maximising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provision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their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lastRenderedPageBreak/>
              <w:t>multiple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functions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while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enhancing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their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productive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capacity</w:t>
            </w:r>
            <w:proofErr w:type="spellEnd"/>
          </w:p>
        </w:tc>
        <w:tc>
          <w:tcPr>
            <w:tcW w:w="4094" w:type="dxa"/>
          </w:tcPr>
          <w:p w14:paraId="13B69AD2" w14:textId="52E16DA3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lastRenderedPageBreak/>
              <w:t>2.1</w:t>
            </w:r>
          </w:p>
          <w:p w14:paraId="7F7D0E85" w14:textId="11C37D9D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lastRenderedPageBreak/>
              <w:t>1.</w:t>
            </w:r>
            <w:r w:rsidRPr="0075329B">
              <w:t xml:space="preserve"> </w:t>
            </w:r>
            <w:r w:rsidRPr="0075329B">
              <w:rPr>
                <w:rFonts w:ascii="Times" w:hAnsi="Times"/>
                <w:sz w:val="22"/>
                <w:szCs w:val="22"/>
              </w:rPr>
              <w:t xml:space="preserve">Головним пріоритетом підготовки майбутніх фахівців є формування у них бачення та принципів, надання достатнього рівня фахових теоретичних знань та відповідних практичних навичок </w:t>
            </w:r>
            <w:r w:rsidRPr="0075329B">
              <w:rPr>
                <w:rFonts w:ascii="Times" w:hAnsi="Times"/>
                <w:b/>
                <w:bCs/>
                <w:sz w:val="22"/>
                <w:szCs w:val="22"/>
              </w:rPr>
              <w:t>щодо забезпечення сталого управління лісами</w:t>
            </w:r>
            <w:r w:rsidRPr="0075329B">
              <w:rPr>
                <w:rFonts w:ascii="Times" w:hAnsi="Times"/>
                <w:sz w:val="22"/>
                <w:szCs w:val="22"/>
              </w:rPr>
              <w:t>.</w:t>
            </w:r>
          </w:p>
          <w:p w14:paraId="21BA1EAD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2. Збільшення площі лісів, підвищення їхньої стійкості та продуктивності, нарощення екологічного та ресурсного потенціалу лісів.</w:t>
            </w:r>
          </w:p>
          <w:p w14:paraId="5D1B9321" w14:textId="45178D55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3. Популяризація і ефективне впровадження використання не деревинних ресурсів лісу, зокрема шляхом визначення оптимального цільового призначення кожної ділянки лісу для створення кадастру недеревинних ресурсів лісу.</w:t>
            </w:r>
          </w:p>
        </w:tc>
        <w:tc>
          <w:tcPr>
            <w:tcW w:w="2268" w:type="dxa"/>
          </w:tcPr>
          <w:p w14:paraId="05E836F4" w14:textId="3476C1FB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</w:tcPr>
          <w:p w14:paraId="3890D993" w14:textId="776461B4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Формування навичок щодо забезпечення сталого управління </w:t>
            </w:r>
            <w:r w:rsidRPr="0075329B">
              <w:rPr>
                <w:rFonts w:ascii="Times" w:hAnsi="Times"/>
                <w:sz w:val="22"/>
                <w:szCs w:val="22"/>
              </w:rPr>
              <w:lastRenderedPageBreak/>
              <w:t>лісами не обов’язково означає використання цих навичок на практиці. Водночас ціль по підвищенню продуктивності  та багатофункціонального використання розкрита</w:t>
            </w:r>
          </w:p>
        </w:tc>
      </w:tr>
      <w:tr w:rsidR="00237152" w:rsidRPr="0075329B" w14:paraId="11E56487" w14:textId="77777777" w:rsidTr="00972D8F">
        <w:tc>
          <w:tcPr>
            <w:tcW w:w="438" w:type="dxa"/>
          </w:tcPr>
          <w:p w14:paraId="658D14E4" w14:textId="2470783D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10.</w:t>
            </w:r>
          </w:p>
        </w:tc>
        <w:tc>
          <w:tcPr>
            <w:tcW w:w="4110" w:type="dxa"/>
          </w:tcPr>
          <w:p w14:paraId="70675F11" w14:textId="0DCF5D3A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Strategy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has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to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lay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foundations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innovation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promotion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new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products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with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low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environmental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impact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that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replace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intensive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fossil-based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materials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effectively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contribute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to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a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new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climate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neutral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society</w:t>
            </w:r>
            <w:proofErr w:type="spellEnd"/>
          </w:p>
        </w:tc>
        <w:tc>
          <w:tcPr>
            <w:tcW w:w="4094" w:type="dxa"/>
          </w:tcPr>
          <w:p w14:paraId="14D6D452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Популяризація використання виробів з деревини в суспільстві:</w:t>
            </w:r>
          </w:p>
          <w:p w14:paraId="35C10520" w14:textId="77777777" w:rsidR="00237152" w:rsidRPr="0075329B" w:rsidRDefault="00237152" w:rsidP="00237152">
            <w:pPr>
              <w:pStyle w:val="ListParagraph"/>
              <w:numPr>
                <w:ilvl w:val="0"/>
                <w:numId w:val="5"/>
              </w:num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пропагування дерев’яного домобудівництва;</w:t>
            </w:r>
          </w:p>
          <w:p w14:paraId="615AD190" w14:textId="77777777" w:rsidR="00237152" w:rsidRPr="0075329B" w:rsidRDefault="00237152" w:rsidP="00237152">
            <w:pPr>
              <w:pStyle w:val="ListParagraph"/>
              <w:numPr>
                <w:ilvl w:val="0"/>
                <w:numId w:val="5"/>
              </w:num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запровадження заходів для «каскадного» використання вжитої деревини, щоб використана в будівельній/деревообробній та іншій промисловості деревина йшла на подальшу переробку або потреби енергетики;</w:t>
            </w:r>
          </w:p>
          <w:p w14:paraId="48B71320" w14:textId="58D1D888" w:rsidR="00237152" w:rsidRPr="0075329B" w:rsidRDefault="00237152" w:rsidP="00237152">
            <w:pPr>
              <w:pStyle w:val="ListParagraph"/>
              <w:numPr>
                <w:ilvl w:val="0"/>
                <w:numId w:val="5"/>
              </w:num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використання відходів деревообробної галузі, на енергетичні потреби.</w:t>
            </w:r>
          </w:p>
        </w:tc>
        <w:tc>
          <w:tcPr>
            <w:tcW w:w="2268" w:type="dxa"/>
          </w:tcPr>
          <w:p w14:paraId="32658785" w14:textId="3C63154E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7C0CCB6F" w14:textId="5A8C6D5C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Ціль із поширення використання не спрямована чітко на досягнення кліматичної нейтральності, крім того не згадується про важливість просування саме продуктів з низьким рівнем впливу на довкілля. Хоча самі передбачені заходи частково сприятимуть цьому. </w:t>
            </w:r>
          </w:p>
        </w:tc>
      </w:tr>
      <w:tr w:rsidR="00237152" w:rsidRPr="0075329B" w14:paraId="0D3E8784" w14:textId="77777777" w:rsidTr="00972D8F">
        <w:tc>
          <w:tcPr>
            <w:tcW w:w="438" w:type="dxa"/>
          </w:tcPr>
          <w:p w14:paraId="284E449E" w14:textId="61487F52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11.</w:t>
            </w:r>
          </w:p>
        </w:tc>
        <w:tc>
          <w:tcPr>
            <w:tcW w:w="4110" w:type="dxa"/>
          </w:tcPr>
          <w:p w14:paraId="5DAB365E" w14:textId="3E6EA1AE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Planting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least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three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billion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additional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trees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EU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by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2030,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announced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Biodiversity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Strategy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2030,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full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respect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ecological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principles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contributing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to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lastRenderedPageBreak/>
              <w:t>climate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neutrality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circular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economy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biodiversity</w:t>
            </w:r>
            <w:proofErr w:type="spellEnd"/>
          </w:p>
        </w:tc>
        <w:tc>
          <w:tcPr>
            <w:tcW w:w="4094" w:type="dxa"/>
          </w:tcPr>
          <w:p w14:paraId="19510144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lastRenderedPageBreak/>
              <w:t>2.1</w:t>
            </w:r>
          </w:p>
          <w:p w14:paraId="07367217" w14:textId="0DC6A913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1. Збільшення лісистості території країни до 18%.</w:t>
            </w:r>
          </w:p>
          <w:p w14:paraId="0C518D3E" w14:textId="4F52C3E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lastRenderedPageBreak/>
              <w:t>2. Лісорозведення на деградованих та малопродуктивних землях, виведених з сільськогосподарського обігу, з обов’язковим врахуванням природних умов місцевості і відмовою від заліснення екологічно важливих ділянок степів та лук</w:t>
            </w:r>
          </w:p>
        </w:tc>
        <w:tc>
          <w:tcPr>
            <w:tcW w:w="2268" w:type="dxa"/>
          </w:tcPr>
          <w:p w14:paraId="2FA435E0" w14:textId="685A8BAF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</w:tcPr>
          <w:p w14:paraId="49B3AE9D" w14:textId="2A89100A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Сукупно, національні цілі відповідають цілі для ЄС</w:t>
            </w:r>
          </w:p>
        </w:tc>
      </w:tr>
      <w:tr w:rsidR="00237152" w:rsidRPr="0075329B" w14:paraId="4C2AB777" w14:textId="77777777" w:rsidTr="00972D8F">
        <w:tc>
          <w:tcPr>
            <w:tcW w:w="438" w:type="dxa"/>
          </w:tcPr>
          <w:p w14:paraId="2447E475" w14:textId="57134110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12.</w:t>
            </w:r>
          </w:p>
        </w:tc>
        <w:tc>
          <w:tcPr>
            <w:tcW w:w="4110" w:type="dxa"/>
          </w:tcPr>
          <w:p w14:paraId="7514348B" w14:textId="395E3668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Adaptation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forests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to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climate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change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strengthening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their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resilience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to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face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future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challenges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including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through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enhanced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conservation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use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genetic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diversity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trees</w:t>
            </w:r>
            <w:proofErr w:type="spellEnd"/>
          </w:p>
        </w:tc>
        <w:tc>
          <w:tcPr>
            <w:tcW w:w="4094" w:type="dxa"/>
          </w:tcPr>
          <w:p w14:paraId="642C0FF8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2.1</w:t>
            </w:r>
          </w:p>
          <w:p w14:paraId="72971976" w14:textId="4E59C01E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1. Адаптація лісів до змін клімату та перехід на наближені до природи методи лісівництва із формуванням лісів природного складу і структури.</w:t>
            </w:r>
          </w:p>
          <w:p w14:paraId="7CC66898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2. Забезпечення екологічної стійкості [шляхом] … збереження та відтворення генетичного різноманіття лісів</w:t>
            </w:r>
          </w:p>
          <w:p w14:paraId="33B28D8E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3. Перехід на вирощування та формування лісів, наближених до природних,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різнопородних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та різновікових, з використанням місцевих порід дерев, стійких до кліматичних змін в сприятливих ґрунтово-кліматичних умовах.</w:t>
            </w:r>
          </w:p>
          <w:p w14:paraId="2330A2BF" w14:textId="666058DB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4. Впровадження сучасних (інноваційних) технологій у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лісовирощуванні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>, догляді за лісом, охороні і захисті лісів.</w:t>
            </w:r>
          </w:p>
        </w:tc>
        <w:tc>
          <w:tcPr>
            <w:tcW w:w="2268" w:type="dxa"/>
          </w:tcPr>
          <w:p w14:paraId="1BE042BE" w14:textId="45A93B2F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</w:t>
            </w:r>
            <w:r w:rsidR="00EC6B90" w:rsidRPr="0075329B">
              <w:rPr>
                <w:rFonts w:ascii="Times" w:hAnsi="Times"/>
                <w:sz w:val="22"/>
                <w:szCs w:val="22"/>
              </w:rPr>
              <w:t>,5</w:t>
            </w:r>
          </w:p>
        </w:tc>
        <w:tc>
          <w:tcPr>
            <w:tcW w:w="3544" w:type="dxa"/>
          </w:tcPr>
          <w:p w14:paraId="056D4633" w14:textId="7630CC22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В цілому, національні цілі майже відповідають цілі ЄС, однак прямо не згадується необхідність посилення охорони лісів для підвищення їх стійкості та можливості адаптації до зміни клімату. </w:t>
            </w:r>
          </w:p>
        </w:tc>
      </w:tr>
      <w:tr w:rsidR="00237152" w:rsidRPr="0075329B" w14:paraId="41AF7040" w14:textId="77777777" w:rsidTr="00972D8F">
        <w:tc>
          <w:tcPr>
            <w:tcW w:w="438" w:type="dxa"/>
          </w:tcPr>
          <w:p w14:paraId="1DCD3F20" w14:textId="4B663353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13.</w:t>
            </w:r>
          </w:p>
        </w:tc>
        <w:tc>
          <w:tcPr>
            <w:tcW w:w="4110" w:type="dxa"/>
          </w:tcPr>
          <w:p w14:paraId="65FB81DE" w14:textId="4A36A081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Rural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development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including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local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enterprises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value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chains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tapping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forests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’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multiple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functions</w:t>
            </w:r>
            <w:proofErr w:type="spellEnd"/>
          </w:p>
        </w:tc>
        <w:tc>
          <w:tcPr>
            <w:tcW w:w="4094" w:type="dxa"/>
          </w:tcPr>
          <w:p w14:paraId="037E656D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2.1.</w:t>
            </w:r>
          </w:p>
          <w:p w14:paraId="4410541A" w14:textId="5F1353B0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1. Розвинути співпрацю з туристичним бізнесом та органами місцевого самоврядування.</w:t>
            </w:r>
          </w:p>
          <w:p w14:paraId="7CB21A48" w14:textId="449578DF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2. Забезпечити механізм залучення місцевих громад до управління цінними для громад лісами (ягідники, місця рекреації, тощо).</w:t>
            </w:r>
          </w:p>
        </w:tc>
        <w:tc>
          <w:tcPr>
            <w:tcW w:w="2268" w:type="dxa"/>
          </w:tcPr>
          <w:p w14:paraId="57A726EE" w14:textId="12ABAF23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428D4C28" w14:textId="320D241B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Запропоновані Україною цілі значною мірою будуть сприяти відповідній цілі ЄС</w:t>
            </w:r>
          </w:p>
        </w:tc>
      </w:tr>
      <w:tr w:rsidR="00237152" w:rsidRPr="0075329B" w14:paraId="1AD94977" w14:textId="77777777" w:rsidTr="00972D8F">
        <w:tc>
          <w:tcPr>
            <w:tcW w:w="438" w:type="dxa"/>
          </w:tcPr>
          <w:p w14:paraId="0272194D" w14:textId="69B2BFB5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14.</w:t>
            </w:r>
          </w:p>
        </w:tc>
        <w:tc>
          <w:tcPr>
            <w:tcW w:w="4110" w:type="dxa"/>
          </w:tcPr>
          <w:p w14:paraId="6E414E7A" w14:textId="0AFE5E9F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A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strong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research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innovation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agenda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to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improve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our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knowledge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forests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to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optimise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their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composition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structure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lastRenderedPageBreak/>
              <w:t>management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use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including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bioeconomy</w:t>
            </w:r>
            <w:proofErr w:type="spellEnd"/>
          </w:p>
        </w:tc>
        <w:tc>
          <w:tcPr>
            <w:tcW w:w="4094" w:type="dxa"/>
          </w:tcPr>
          <w:p w14:paraId="5A6C7E4E" w14:textId="76ED6FD6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lastRenderedPageBreak/>
              <w:t xml:space="preserve">2.1. Розробити механізми ефективного впровадження сучасних досягнень науки у лісогосподарське виробництво та налагодити ефективну співпрацю між </w:t>
            </w:r>
            <w:r w:rsidRPr="0075329B">
              <w:rPr>
                <w:rFonts w:ascii="Times" w:hAnsi="Times"/>
                <w:sz w:val="22"/>
                <w:szCs w:val="22"/>
              </w:rPr>
              <w:lastRenderedPageBreak/>
              <w:t>університетами та лісогосподарськими підприємствами для впровадження наукових розробок та передового міжнародного досвіду у виробництво.</w:t>
            </w:r>
          </w:p>
        </w:tc>
        <w:tc>
          <w:tcPr>
            <w:tcW w:w="2268" w:type="dxa"/>
          </w:tcPr>
          <w:p w14:paraId="0F365AF8" w14:textId="6CCFD010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lastRenderedPageBreak/>
              <w:t>1</w:t>
            </w:r>
            <w:r w:rsidR="00EC6B90" w:rsidRPr="0075329B">
              <w:rPr>
                <w:rFonts w:ascii="Times" w:hAnsi="Times"/>
                <w:sz w:val="22"/>
                <w:szCs w:val="22"/>
              </w:rPr>
              <w:t>,5</w:t>
            </w:r>
          </w:p>
        </w:tc>
        <w:tc>
          <w:tcPr>
            <w:tcW w:w="3544" w:type="dxa"/>
          </w:tcPr>
          <w:p w14:paraId="334C8D66" w14:textId="70D09C91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Посилення досліджень в Україні подається переважно в контексті економічного використання лісів, натомість ціль ЄС передбачає </w:t>
            </w:r>
            <w:r w:rsidRPr="0075329B">
              <w:rPr>
                <w:rFonts w:ascii="Times" w:hAnsi="Times"/>
                <w:sz w:val="22"/>
                <w:szCs w:val="22"/>
              </w:rPr>
              <w:lastRenderedPageBreak/>
              <w:t>ширше впровадження інновацій та результатів досліджень</w:t>
            </w:r>
          </w:p>
        </w:tc>
      </w:tr>
      <w:tr w:rsidR="00237152" w:rsidRPr="0075329B" w14:paraId="364F1F44" w14:textId="77777777" w:rsidTr="00972D8F">
        <w:tc>
          <w:tcPr>
            <w:tcW w:w="438" w:type="dxa"/>
          </w:tcPr>
          <w:p w14:paraId="1CE411AE" w14:textId="61D0ED26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110" w:type="dxa"/>
          </w:tcPr>
          <w:p w14:paraId="74870392" w14:textId="3BDD7B5A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Improve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harmonise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monitoring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forests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to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demonstrate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effective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contribution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sustainably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managed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forests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to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EU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objectives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supply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demand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forest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services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4094" w:type="dxa"/>
          </w:tcPr>
          <w:p w14:paraId="66DC310A" w14:textId="28524352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2.1.</w:t>
            </w:r>
          </w:p>
          <w:p w14:paraId="1A8000D2" w14:textId="137767F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1. Індикатор 14. Запровадження системи моніторингу лісового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біорізноманіття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та інвазійних видів в лісовому господарстві як складової загальнодержавної системи моніторингу довкілля.</w:t>
            </w:r>
          </w:p>
          <w:p w14:paraId="3BAC4817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2. Підвищити якість та доступність інформації про ліси та лісове господарство:</w:t>
            </w:r>
          </w:p>
          <w:p w14:paraId="22853ECE" w14:textId="77777777" w:rsidR="00237152" w:rsidRPr="0075329B" w:rsidRDefault="00237152" w:rsidP="00237152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вся суспільно важлива інформація про ліси незалежно від форми власності лісів повинна бути у відкритому доступі; </w:t>
            </w:r>
          </w:p>
          <w:p w14:paraId="231AC125" w14:textId="77777777" w:rsidR="00237152" w:rsidRPr="0075329B" w:rsidRDefault="00237152" w:rsidP="00237152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впровадження інформаційних технологій у систему управління лісами та підвищення прозорості даних стосовно лісів та лісового господарства;</w:t>
            </w:r>
          </w:p>
          <w:p w14:paraId="7AA0DD30" w14:textId="66D80BCC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3.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Держлісагентство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має організувати та підтримувати роботу Єдиного Інтернет порталу, на якому буде зосереджена вся важлива інформація стосовно усіх лісокористувачів незалежно від форми власності.</w:t>
            </w:r>
          </w:p>
        </w:tc>
        <w:tc>
          <w:tcPr>
            <w:tcW w:w="2268" w:type="dxa"/>
          </w:tcPr>
          <w:p w14:paraId="08528309" w14:textId="7B6DF4E3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7D697946" w14:textId="262EA509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Український відповідник включає вкрай важливий моніторинг лісового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біорізноманіття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>, однак не означає зальний моніторинг лісів, як це планується в ЄС. Проте, необхідність створення відкритого порталу частково нівелює цю проблему.</w:t>
            </w:r>
          </w:p>
          <w:p w14:paraId="6079A8D7" w14:textId="07985018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37152" w:rsidRPr="0075329B" w14:paraId="6ABDB3A4" w14:textId="77777777" w:rsidTr="00972D8F">
        <w:tc>
          <w:tcPr>
            <w:tcW w:w="438" w:type="dxa"/>
          </w:tcPr>
          <w:p w14:paraId="48CF39BB" w14:textId="147DD1F7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16.</w:t>
            </w:r>
          </w:p>
        </w:tc>
        <w:tc>
          <w:tcPr>
            <w:tcW w:w="4110" w:type="dxa"/>
          </w:tcPr>
          <w:p w14:paraId="50E698E5" w14:textId="66DF759C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Secure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financing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including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research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enhancing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use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of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EU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national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budget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well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private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funds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ensuring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a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consistent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approach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among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different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funding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instruments</w:t>
            </w:r>
            <w:proofErr w:type="spellEnd"/>
          </w:p>
        </w:tc>
        <w:tc>
          <w:tcPr>
            <w:tcW w:w="4094" w:type="dxa"/>
          </w:tcPr>
          <w:p w14:paraId="64C5B602" w14:textId="0FE44A5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2.1.</w:t>
            </w:r>
          </w:p>
          <w:p w14:paraId="4A3AADF3" w14:textId="233FE1CA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1. Заходи з підтримки екологічної стійкості лісів та збереження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біорізноманіття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в лісах повинні здійснюватися як за рахунок коштів лісокористувачів, так і за рахунок бюджетних коштів, зокрема спеціального </w:t>
            </w:r>
            <w:r w:rsidRPr="0075329B">
              <w:rPr>
                <w:rFonts w:ascii="Times" w:hAnsi="Times"/>
                <w:sz w:val="22"/>
                <w:szCs w:val="22"/>
              </w:rPr>
              <w:lastRenderedPageBreak/>
              <w:t>фонду фінансування лісового господарства, фондів охорони навколишнього природнього середовища та інших, не заборонених законом джерел.</w:t>
            </w:r>
          </w:p>
          <w:p w14:paraId="6F60EA67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2. Комунальні ліси, які виконують в першу чергу екологічні та рекреаційні функції повинні фінансуватись за рахунок коштів місцевих фондів охорони навколишнього природного середовища.</w:t>
            </w:r>
          </w:p>
          <w:p w14:paraId="39845A7D" w14:textId="080BCCE6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3. Створення спеціального фонду фінансування лісового господарства з метою підтримки лісового господарства Півдня та Сходу України, реалізації програм протипожежного захисту лісів, фінансування створення нових лісів, розвиток науки тощо.</w:t>
            </w:r>
          </w:p>
        </w:tc>
        <w:tc>
          <w:tcPr>
            <w:tcW w:w="2268" w:type="dxa"/>
          </w:tcPr>
          <w:p w14:paraId="25904A53" w14:textId="392F3006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</w:tcPr>
          <w:p w14:paraId="2B800E9F" w14:textId="729A6E7D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Ціль практично повністю відповідає цілі ЄЗК</w:t>
            </w:r>
          </w:p>
        </w:tc>
      </w:tr>
      <w:tr w:rsidR="00237152" w:rsidRPr="0075329B" w14:paraId="244CCB47" w14:textId="77777777" w:rsidTr="00972D8F">
        <w:tc>
          <w:tcPr>
            <w:tcW w:w="438" w:type="dxa"/>
          </w:tcPr>
          <w:p w14:paraId="0AA1782B" w14:textId="46C8F266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17.</w:t>
            </w:r>
          </w:p>
        </w:tc>
        <w:tc>
          <w:tcPr>
            <w:tcW w:w="4110" w:type="dxa"/>
          </w:tcPr>
          <w:p w14:paraId="6F8BB813" w14:textId="6CA33BCC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Foster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innovative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financial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incentives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including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payments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ecosystem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services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and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result-based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schemes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(‘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carbon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farming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’)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forest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managers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that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provide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public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goods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such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as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carbon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sequestration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or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biodiversity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benefits</w:t>
            </w:r>
            <w:proofErr w:type="spellEnd"/>
          </w:p>
        </w:tc>
        <w:tc>
          <w:tcPr>
            <w:tcW w:w="4094" w:type="dxa"/>
          </w:tcPr>
          <w:p w14:paraId="3155DF95" w14:textId="77777777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2.1. </w:t>
            </w:r>
          </w:p>
          <w:p w14:paraId="03C4C2FD" w14:textId="4FACC030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1. Впровадження компенсаційних механізмів, щодо зменшення емісії та збільшенням абсорбції вуглекислого газу лісовою галуззю та/або окремими лісокористувачами.</w:t>
            </w:r>
          </w:p>
          <w:p w14:paraId="5E21A26B" w14:textId="307228DC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 xml:space="preserve">2. Монетизація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екосистемних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послуг лісового господарства та збільшення їхньої частки, зокрема передбачається реорганізація системи нарахування і використання екологічного податку, аби дозволити використовувати кошти місцевих та державного фондів охорони навколишнього природного середовища на оплату наданих лісами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екосистемних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послуг, заходів підтримання екологічної стійкості лісів та збереження </w:t>
            </w:r>
            <w:proofErr w:type="spellStart"/>
            <w:r w:rsidRPr="0075329B">
              <w:rPr>
                <w:rFonts w:ascii="Times" w:hAnsi="Times"/>
                <w:sz w:val="22"/>
                <w:szCs w:val="22"/>
              </w:rPr>
              <w:t>біорізноманіття</w:t>
            </w:r>
            <w:proofErr w:type="spellEnd"/>
            <w:r w:rsidRPr="0075329B">
              <w:rPr>
                <w:rFonts w:ascii="Times" w:hAnsi="Times"/>
                <w:sz w:val="22"/>
                <w:szCs w:val="22"/>
              </w:rPr>
              <w:t xml:space="preserve"> в лісах.</w:t>
            </w:r>
          </w:p>
        </w:tc>
        <w:tc>
          <w:tcPr>
            <w:tcW w:w="2268" w:type="dxa"/>
          </w:tcPr>
          <w:p w14:paraId="4B60C3E7" w14:textId="7238E8D0" w:rsidR="00237152" w:rsidRPr="0075329B" w:rsidRDefault="00237152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5A48575F" w14:textId="64570200" w:rsidR="00237152" w:rsidRPr="0075329B" w:rsidRDefault="00237152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" w:hAnsi="Times"/>
                <w:sz w:val="22"/>
                <w:szCs w:val="22"/>
              </w:rPr>
              <w:t>Сукупно національну цілі повністю відповідають цілі ЄЗК.</w:t>
            </w:r>
          </w:p>
        </w:tc>
      </w:tr>
      <w:tr w:rsidR="00EC6B90" w:rsidRPr="0075329B" w14:paraId="74FE76CC" w14:textId="77777777" w:rsidTr="00EC6B90">
        <w:tc>
          <w:tcPr>
            <w:tcW w:w="438" w:type="dxa"/>
            <w:shd w:val="clear" w:color="auto" w:fill="AEAAAA" w:themeFill="background2" w:themeFillShade="BF"/>
          </w:tcPr>
          <w:p w14:paraId="61F3C38F" w14:textId="77777777" w:rsidR="00EC6B90" w:rsidRPr="0075329B" w:rsidRDefault="00EC6B90" w:rsidP="0023715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EAAAA" w:themeFill="background2" w:themeFillShade="BF"/>
          </w:tcPr>
          <w:p w14:paraId="5FA222AF" w14:textId="2AFB6CBF" w:rsidR="00EC6B90" w:rsidRPr="0075329B" w:rsidRDefault="00EC6B90" w:rsidP="00237152">
            <w:pPr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Загальний показник відповідності за сферою</w:t>
            </w:r>
          </w:p>
        </w:tc>
        <w:tc>
          <w:tcPr>
            <w:tcW w:w="9906" w:type="dxa"/>
            <w:gridSpan w:val="3"/>
            <w:shd w:val="clear" w:color="auto" w:fill="AEAAAA" w:themeFill="background2" w:themeFillShade="BF"/>
          </w:tcPr>
          <w:p w14:paraId="238D1CA8" w14:textId="47EBBEB9" w:rsidR="00EC6B90" w:rsidRPr="0075329B" w:rsidRDefault="00EC6B90" w:rsidP="002979A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32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40 із 51, </w:t>
            </w:r>
          </w:p>
          <w:p w14:paraId="6063F016" w14:textId="5576695C" w:rsidR="00EC6B90" w:rsidRPr="0075329B" w:rsidRDefault="001D2BE6" w:rsidP="002979A3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7532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тобто </w:t>
            </w:r>
            <w:r w:rsidR="002979A3" w:rsidRPr="007532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</w:t>
            </w:r>
            <w:r w:rsidR="00EC6B90" w:rsidRPr="007532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14:paraId="13EF1F66" w14:textId="7FB9EE89" w:rsidR="00863D4F" w:rsidRPr="0075329B" w:rsidRDefault="00863D4F" w:rsidP="00863D4F">
      <w:pPr>
        <w:rPr>
          <w:rFonts w:ascii="Times" w:hAnsi="Times"/>
          <w:sz w:val="22"/>
          <w:szCs w:val="22"/>
        </w:rPr>
      </w:pPr>
    </w:p>
    <w:p w14:paraId="67F57FC3" w14:textId="77777777" w:rsidR="006F0200" w:rsidRPr="0075329B" w:rsidRDefault="006F0200" w:rsidP="00863D4F">
      <w:pPr>
        <w:rPr>
          <w:rFonts w:ascii="Times" w:hAnsi="Times"/>
          <w:sz w:val="22"/>
          <w:szCs w:val="22"/>
        </w:rPr>
      </w:pPr>
    </w:p>
    <w:p w14:paraId="1B00EBEB" w14:textId="26821893" w:rsidR="006823BA" w:rsidRPr="0075329B" w:rsidRDefault="006823BA" w:rsidP="00863D4F">
      <w:pPr>
        <w:rPr>
          <w:rFonts w:ascii="Times" w:hAnsi="Times"/>
          <w:sz w:val="22"/>
          <w:szCs w:val="22"/>
        </w:rPr>
      </w:pPr>
      <w:r w:rsidRPr="0075329B">
        <w:rPr>
          <w:rFonts w:ascii="Times" w:hAnsi="Times"/>
          <w:sz w:val="22"/>
          <w:szCs w:val="22"/>
        </w:rPr>
        <w:t>Перелік проаналізованих документів:</w:t>
      </w:r>
    </w:p>
    <w:p w14:paraId="0AC0EE49" w14:textId="77777777" w:rsidR="006F0200" w:rsidRPr="0075329B" w:rsidRDefault="006F0200" w:rsidP="00863D4F">
      <w:pPr>
        <w:rPr>
          <w:rFonts w:ascii="Times" w:hAnsi="Times"/>
          <w:sz w:val="22"/>
          <w:szCs w:val="22"/>
        </w:rPr>
      </w:pPr>
    </w:p>
    <w:p w14:paraId="3F99FBB7" w14:textId="489716D4" w:rsidR="006823BA" w:rsidRPr="0075329B" w:rsidRDefault="006823BA" w:rsidP="006823BA">
      <w:pPr>
        <w:pStyle w:val="ListParagraph"/>
        <w:numPr>
          <w:ilvl w:val="0"/>
          <w:numId w:val="1"/>
        </w:numPr>
        <w:ind w:left="426" w:hanging="426"/>
        <w:rPr>
          <w:rFonts w:ascii="Times" w:hAnsi="Times"/>
          <w:sz w:val="22"/>
          <w:szCs w:val="22"/>
        </w:rPr>
      </w:pPr>
      <w:r w:rsidRPr="0075329B">
        <w:rPr>
          <w:rFonts w:ascii="Times" w:hAnsi="Times"/>
          <w:sz w:val="22"/>
          <w:szCs w:val="22"/>
        </w:rPr>
        <w:t>Є</w:t>
      </w:r>
      <w:r w:rsidR="006F0200" w:rsidRPr="0075329B">
        <w:rPr>
          <w:rFonts w:ascii="Times" w:hAnsi="Times"/>
          <w:sz w:val="22"/>
          <w:szCs w:val="22"/>
        </w:rPr>
        <w:t>вропейський зелений курс</w:t>
      </w:r>
    </w:p>
    <w:p w14:paraId="23D2E9B5" w14:textId="21F98D78" w:rsidR="006823BA" w:rsidRPr="0075329B" w:rsidRDefault="00AC01E3" w:rsidP="00241021">
      <w:pPr>
        <w:pStyle w:val="ListParagraph"/>
        <w:numPr>
          <w:ilvl w:val="1"/>
          <w:numId w:val="2"/>
        </w:numPr>
        <w:ind w:left="1134" w:hanging="425"/>
        <w:rPr>
          <w:rFonts w:ascii="Times" w:hAnsi="Times"/>
          <w:sz w:val="22"/>
          <w:szCs w:val="22"/>
        </w:rPr>
      </w:pPr>
      <w:proofErr w:type="spellStart"/>
      <w:r w:rsidRPr="0075329B">
        <w:rPr>
          <w:rFonts w:ascii="Times" w:hAnsi="Times"/>
          <w:sz w:val="22"/>
          <w:szCs w:val="22"/>
        </w:rPr>
        <w:t>Roadmap</w:t>
      </w:r>
      <w:proofErr w:type="spellEnd"/>
      <w:r w:rsidRPr="0075329B">
        <w:rPr>
          <w:rFonts w:ascii="Times" w:hAnsi="Times"/>
          <w:sz w:val="22"/>
          <w:szCs w:val="22"/>
        </w:rPr>
        <w:t xml:space="preserve"> </w:t>
      </w:r>
      <w:proofErr w:type="spellStart"/>
      <w:r w:rsidRPr="0075329B">
        <w:rPr>
          <w:rFonts w:ascii="Times" w:hAnsi="Times"/>
          <w:sz w:val="22"/>
          <w:szCs w:val="22"/>
        </w:rPr>
        <w:t>of</w:t>
      </w:r>
      <w:proofErr w:type="spellEnd"/>
      <w:r w:rsidRPr="0075329B">
        <w:rPr>
          <w:rFonts w:ascii="Times" w:hAnsi="Times"/>
          <w:sz w:val="22"/>
          <w:szCs w:val="22"/>
        </w:rPr>
        <w:t xml:space="preserve"> EU </w:t>
      </w:r>
      <w:proofErr w:type="spellStart"/>
      <w:r w:rsidRPr="0075329B">
        <w:rPr>
          <w:rFonts w:ascii="Times" w:hAnsi="Times"/>
          <w:sz w:val="22"/>
          <w:szCs w:val="22"/>
        </w:rPr>
        <w:t>Forest</w:t>
      </w:r>
      <w:proofErr w:type="spellEnd"/>
      <w:r w:rsidRPr="0075329B">
        <w:rPr>
          <w:rFonts w:ascii="Times" w:hAnsi="Times"/>
          <w:sz w:val="22"/>
          <w:szCs w:val="22"/>
        </w:rPr>
        <w:t xml:space="preserve"> </w:t>
      </w:r>
      <w:proofErr w:type="spellStart"/>
      <w:r w:rsidRPr="0075329B">
        <w:rPr>
          <w:rFonts w:ascii="Times" w:hAnsi="Times"/>
          <w:sz w:val="22"/>
          <w:szCs w:val="22"/>
        </w:rPr>
        <w:t>Strategy</w:t>
      </w:r>
      <w:proofErr w:type="spellEnd"/>
      <w:r w:rsidR="006F0200" w:rsidRPr="0075329B">
        <w:rPr>
          <w:rFonts w:ascii="Times" w:hAnsi="Times"/>
          <w:sz w:val="22"/>
          <w:szCs w:val="22"/>
        </w:rPr>
        <w:t xml:space="preserve">, </w:t>
      </w:r>
      <w:hyperlink r:id="rId7" w:history="1">
        <w:r w:rsidR="006F0200" w:rsidRPr="0075329B">
          <w:rPr>
            <w:rStyle w:val="Hyperlink"/>
            <w:rFonts w:ascii="Times" w:hAnsi="Times"/>
            <w:sz w:val="22"/>
            <w:szCs w:val="22"/>
          </w:rPr>
          <w:t>https://ec.europa.eu/info/law/better-regulation/have-your-say/initiatives/12674-Forests-new-EU-strategy_en</w:t>
        </w:r>
      </w:hyperlink>
      <w:r w:rsidR="006F0200" w:rsidRPr="0075329B">
        <w:rPr>
          <w:rFonts w:ascii="Times" w:hAnsi="Times"/>
          <w:sz w:val="22"/>
          <w:szCs w:val="22"/>
        </w:rPr>
        <w:t xml:space="preserve"> </w:t>
      </w:r>
    </w:p>
    <w:p w14:paraId="1D1CE141" w14:textId="690ED856" w:rsidR="006823BA" w:rsidRPr="0075329B" w:rsidRDefault="006823BA" w:rsidP="006823BA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75329B">
        <w:rPr>
          <w:rFonts w:ascii="Times" w:hAnsi="Times"/>
          <w:sz w:val="22"/>
          <w:szCs w:val="22"/>
        </w:rPr>
        <w:t>Документи державного планування України</w:t>
      </w:r>
    </w:p>
    <w:p w14:paraId="78391D75" w14:textId="7BCF2008" w:rsidR="00B57EEE" w:rsidRPr="0075329B" w:rsidRDefault="00AC01E3" w:rsidP="00EB4355">
      <w:pPr>
        <w:pStyle w:val="ListParagraph"/>
        <w:numPr>
          <w:ilvl w:val="1"/>
          <w:numId w:val="2"/>
        </w:numPr>
        <w:ind w:left="1134" w:hanging="425"/>
        <w:rPr>
          <w:rFonts w:ascii="Times" w:hAnsi="Times"/>
          <w:sz w:val="22"/>
          <w:szCs w:val="22"/>
        </w:rPr>
      </w:pPr>
      <w:proofErr w:type="spellStart"/>
      <w:r w:rsidRPr="0075329B">
        <w:rPr>
          <w:rFonts w:ascii="Times" w:hAnsi="Times"/>
          <w:sz w:val="22"/>
          <w:szCs w:val="22"/>
        </w:rPr>
        <w:t>Проєкт</w:t>
      </w:r>
      <w:proofErr w:type="spellEnd"/>
      <w:r w:rsidRPr="0075329B">
        <w:rPr>
          <w:rFonts w:ascii="Times" w:hAnsi="Times"/>
          <w:sz w:val="22"/>
          <w:szCs w:val="22"/>
        </w:rPr>
        <w:t xml:space="preserve"> Державної стратегії управління лісами України до 2035 року</w:t>
      </w:r>
      <w:r w:rsidR="006F0200" w:rsidRPr="0075329B">
        <w:rPr>
          <w:rFonts w:ascii="Times" w:hAnsi="Times"/>
          <w:sz w:val="22"/>
          <w:szCs w:val="22"/>
        </w:rPr>
        <w:t xml:space="preserve">, </w:t>
      </w:r>
      <w:hyperlink r:id="rId8" w:history="1">
        <w:r w:rsidR="006F0200" w:rsidRPr="0075329B">
          <w:rPr>
            <w:rStyle w:val="Hyperlink"/>
            <w:rFonts w:ascii="Times" w:hAnsi="Times"/>
            <w:sz w:val="22"/>
            <w:szCs w:val="22"/>
          </w:rPr>
          <w:t>https://mepr.gov.ua/news/36526.html</w:t>
        </w:r>
      </w:hyperlink>
      <w:r w:rsidR="006F0200" w:rsidRPr="0075329B">
        <w:rPr>
          <w:rFonts w:ascii="Times" w:hAnsi="Times"/>
          <w:sz w:val="22"/>
          <w:szCs w:val="22"/>
        </w:rPr>
        <w:t xml:space="preserve"> </w:t>
      </w:r>
    </w:p>
    <w:p w14:paraId="2E33CD9F" w14:textId="66B31E3D" w:rsidR="00B57EEE" w:rsidRPr="0075329B" w:rsidRDefault="00B57EEE" w:rsidP="006F0200">
      <w:pPr>
        <w:pStyle w:val="ListParagraph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75329B">
        <w:rPr>
          <w:rFonts w:ascii="Times" w:hAnsi="Times"/>
          <w:sz w:val="22"/>
          <w:szCs w:val="22"/>
        </w:rPr>
        <w:t>Національний план дій з охорони навколишнього природного середовища на період до 2025 року</w:t>
      </w:r>
      <w:r w:rsidR="006F0200" w:rsidRPr="0075329B">
        <w:rPr>
          <w:rFonts w:ascii="Times" w:hAnsi="Times"/>
          <w:sz w:val="22"/>
          <w:szCs w:val="22"/>
        </w:rPr>
        <w:t xml:space="preserve">, </w:t>
      </w:r>
      <w:hyperlink r:id="rId9" w:history="1">
        <w:r w:rsidR="006F0200" w:rsidRPr="0075329B">
          <w:rPr>
            <w:rStyle w:val="Hyperlink"/>
            <w:rFonts w:ascii="Times New Roman" w:hAnsi="Times New Roman" w:cs="Times New Roman"/>
            <w:sz w:val="22"/>
            <w:szCs w:val="22"/>
          </w:rPr>
          <w:t>https://www.kmu.gov.ua/npas/pro-zatverdzhennya-nacionalnogo-planu-dij-z-ohoroni-navkolishnogo-prirodnogo-seredovishcha-na-period-do-2025-roku-i210421-443</w:t>
        </w:r>
      </w:hyperlink>
    </w:p>
    <w:sectPr w:rsidR="00B57EEE" w:rsidRPr="0075329B" w:rsidSect="00353309">
      <w:footerReference w:type="even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A442E" w14:textId="77777777" w:rsidR="00426B4E" w:rsidRDefault="00426B4E" w:rsidP="00353309">
      <w:r>
        <w:separator/>
      </w:r>
    </w:p>
  </w:endnote>
  <w:endnote w:type="continuationSeparator" w:id="0">
    <w:p w14:paraId="417B07D5" w14:textId="77777777" w:rsidR="00426B4E" w:rsidRDefault="00426B4E" w:rsidP="0035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C Square Sans Pro">
    <w:altName w:val="Calibri"/>
    <w:panose1 w:val="020B0604020202020204"/>
    <w:charset w:val="00"/>
    <w:family w:val="swiss"/>
    <w:pitch w:val="variable"/>
    <w:sig w:usb0="A00002BF" w:usb1="5000E0FB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0013699"/>
      <w:docPartObj>
        <w:docPartGallery w:val="Page Numbers (Bottom of Page)"/>
        <w:docPartUnique/>
      </w:docPartObj>
    </w:sdtPr>
    <w:sdtContent>
      <w:p w14:paraId="67EFEFF5" w14:textId="683BBD70" w:rsidR="0075329B" w:rsidRDefault="0075329B" w:rsidP="007A71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EF3C7B" w14:textId="77777777" w:rsidR="0075329B" w:rsidRDefault="0075329B" w:rsidP="007532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60070098"/>
      <w:docPartObj>
        <w:docPartGallery w:val="Page Numbers (Bottom of Page)"/>
        <w:docPartUnique/>
      </w:docPartObj>
    </w:sdtPr>
    <w:sdtContent>
      <w:p w14:paraId="20B66B4B" w14:textId="7DF57B03" w:rsidR="0075329B" w:rsidRDefault="0075329B" w:rsidP="007A71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4DEE29" w14:textId="77777777" w:rsidR="0075329B" w:rsidRDefault="0075329B" w:rsidP="007532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673BB" w14:textId="77777777" w:rsidR="00426B4E" w:rsidRDefault="00426B4E" w:rsidP="00353309">
      <w:r>
        <w:separator/>
      </w:r>
    </w:p>
  </w:footnote>
  <w:footnote w:type="continuationSeparator" w:id="0">
    <w:p w14:paraId="5DE6BD1E" w14:textId="77777777" w:rsidR="00426B4E" w:rsidRDefault="00426B4E" w:rsidP="0035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4C84"/>
    <w:multiLevelType w:val="hybridMultilevel"/>
    <w:tmpl w:val="32926B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42EE"/>
    <w:multiLevelType w:val="hybridMultilevel"/>
    <w:tmpl w:val="5A88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A222C"/>
    <w:multiLevelType w:val="hybridMultilevel"/>
    <w:tmpl w:val="3A80C3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A72ED"/>
    <w:multiLevelType w:val="hybridMultilevel"/>
    <w:tmpl w:val="348C5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733E4"/>
    <w:multiLevelType w:val="multilevel"/>
    <w:tmpl w:val="DA745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E62747B"/>
    <w:multiLevelType w:val="multilevel"/>
    <w:tmpl w:val="B93E3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09"/>
    <w:rsid w:val="00020716"/>
    <w:rsid w:val="000938A7"/>
    <w:rsid w:val="000A1E00"/>
    <w:rsid w:val="001A4276"/>
    <w:rsid w:val="001D2BE6"/>
    <w:rsid w:val="00200E7B"/>
    <w:rsid w:val="00210323"/>
    <w:rsid w:val="00237152"/>
    <w:rsid w:val="00241021"/>
    <w:rsid w:val="002551A7"/>
    <w:rsid w:val="002979A3"/>
    <w:rsid w:val="002A3710"/>
    <w:rsid w:val="00323D79"/>
    <w:rsid w:val="00346FFE"/>
    <w:rsid w:val="00353309"/>
    <w:rsid w:val="00426B4E"/>
    <w:rsid w:val="00435D4B"/>
    <w:rsid w:val="004B56DB"/>
    <w:rsid w:val="0054699B"/>
    <w:rsid w:val="0058483E"/>
    <w:rsid w:val="00585CD3"/>
    <w:rsid w:val="005C4371"/>
    <w:rsid w:val="00621B51"/>
    <w:rsid w:val="006823BA"/>
    <w:rsid w:val="006C1C9F"/>
    <w:rsid w:val="006F0200"/>
    <w:rsid w:val="007268B9"/>
    <w:rsid w:val="0075329B"/>
    <w:rsid w:val="007D52F8"/>
    <w:rsid w:val="00802A03"/>
    <w:rsid w:val="00804645"/>
    <w:rsid w:val="008362E6"/>
    <w:rsid w:val="00860E48"/>
    <w:rsid w:val="00863D4F"/>
    <w:rsid w:val="00891D56"/>
    <w:rsid w:val="008A1888"/>
    <w:rsid w:val="00972D8F"/>
    <w:rsid w:val="009A7B53"/>
    <w:rsid w:val="009D585C"/>
    <w:rsid w:val="00A1058C"/>
    <w:rsid w:val="00A651F8"/>
    <w:rsid w:val="00A84AD2"/>
    <w:rsid w:val="00AB348E"/>
    <w:rsid w:val="00AC01E3"/>
    <w:rsid w:val="00B57EEE"/>
    <w:rsid w:val="00B80236"/>
    <w:rsid w:val="00BB3DDC"/>
    <w:rsid w:val="00C21266"/>
    <w:rsid w:val="00C8076D"/>
    <w:rsid w:val="00D108BE"/>
    <w:rsid w:val="00E358C0"/>
    <w:rsid w:val="00EC6B90"/>
    <w:rsid w:val="00F20058"/>
    <w:rsid w:val="00F3130B"/>
    <w:rsid w:val="00F6741C"/>
    <w:rsid w:val="00F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B6892F"/>
  <w15:chartTrackingRefBased/>
  <w15:docId w15:val="{12AF8410-0257-BF4A-9022-B53B895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E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33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309"/>
    <w:rPr>
      <w:sz w:val="20"/>
      <w:szCs w:val="20"/>
      <w:lang w:val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353309"/>
    <w:rPr>
      <w:vertAlign w:val="superscript"/>
    </w:rPr>
  </w:style>
  <w:style w:type="paragraph" w:customStyle="1" w:styleId="Default">
    <w:name w:val="Default"/>
    <w:rsid w:val="00863D4F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lang w:val="en-GB"/>
    </w:rPr>
  </w:style>
  <w:style w:type="character" w:customStyle="1" w:styleId="A2">
    <w:name w:val="A2"/>
    <w:uiPriority w:val="99"/>
    <w:rsid w:val="00863D4F"/>
    <w:rPr>
      <w:rFonts w:cs="EC Square Sans Pro"/>
      <w:color w:val="000000"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863D4F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63D4F"/>
    <w:rPr>
      <w:rFonts w:cs="EC Square Sans Pro"/>
      <w:b/>
      <w:bCs/>
      <w:color w:val="000000"/>
      <w:sz w:val="38"/>
      <w:szCs w:val="38"/>
    </w:rPr>
  </w:style>
  <w:style w:type="character" w:customStyle="1" w:styleId="A9">
    <w:name w:val="A9"/>
    <w:uiPriority w:val="99"/>
    <w:rsid w:val="00863D4F"/>
    <w:rPr>
      <w:rFonts w:cs="EC Square Sans Pro"/>
      <w:b/>
      <w:bCs/>
      <w:color w:val="000000"/>
    </w:rPr>
  </w:style>
  <w:style w:type="paragraph" w:customStyle="1" w:styleId="rvps14">
    <w:name w:val="rvps14"/>
    <w:basedOn w:val="Normal"/>
    <w:rsid w:val="006823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823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1E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styleId="Hyperlink">
    <w:name w:val="Hyperlink"/>
    <w:basedOn w:val="DefaultParagraphFont"/>
    <w:uiPriority w:val="99"/>
    <w:unhideWhenUsed/>
    <w:rsid w:val="006F0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20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53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29B"/>
    <w:rPr>
      <w:lang w:val="uk-UA"/>
    </w:rPr>
  </w:style>
  <w:style w:type="character" w:styleId="PageNumber">
    <w:name w:val="page number"/>
    <w:basedOn w:val="DefaultParagraphFont"/>
    <w:uiPriority w:val="99"/>
    <w:semiHidden/>
    <w:unhideWhenUsed/>
    <w:rsid w:val="0075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pr.gov.ua/news/3652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better-regulation/have-your-say/initiatives/12674-Forests-new-EU-strategy_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mu.gov.ua/npas/pro-zatverdzhennya-nacionalnogo-planu-dij-z-ohoroni-navkolishnogo-prirodnogo-seredovishcha-na-period-do-2025-roku-i210421-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2326</Words>
  <Characters>13263</Characters>
  <Application>Microsoft Office Word</Application>
  <DocSecurity>0</DocSecurity>
  <Lines>110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Y.Aleksyeyeva</dc:creator>
  <cp:keywords/>
  <dc:description/>
  <cp:lastModifiedBy>Y.Aleksyeyeva</cp:lastModifiedBy>
  <cp:revision>4</cp:revision>
  <dcterms:created xsi:type="dcterms:W3CDTF">2021-06-29T10:00:00Z</dcterms:created>
  <dcterms:modified xsi:type="dcterms:W3CDTF">2021-06-29T13:01:00Z</dcterms:modified>
</cp:coreProperties>
</file>