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08DBF" w14:textId="11CEFB33" w:rsidR="00092CDD" w:rsidRDefault="006E056B">
      <w:r>
        <w:rPr>
          <w:noProof/>
        </w:rPr>
        <w:drawing>
          <wp:inline distT="114300" distB="114300" distL="114300" distR="114300" wp14:anchorId="0483D7A0" wp14:editId="50F3CFB8">
            <wp:extent cx="5731200" cy="1346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31200" cy="1346200"/>
                    </a:xfrm>
                    <a:prstGeom prst="rect">
                      <a:avLst/>
                    </a:prstGeom>
                    <a:ln/>
                  </pic:spPr>
                </pic:pic>
              </a:graphicData>
            </a:graphic>
          </wp:inline>
        </w:drawing>
      </w:r>
    </w:p>
    <w:p w14:paraId="122A86D8" w14:textId="051F70E0" w:rsidR="00092CDD" w:rsidRDefault="00092CDD"/>
    <w:p w14:paraId="223A075C" w14:textId="273920ED" w:rsidR="000635F8" w:rsidRDefault="000635F8"/>
    <w:tbl>
      <w:tblPr>
        <w:tblStyle w:val="a5"/>
        <w:tblW w:w="0" w:type="auto"/>
        <w:tblInd w:w="4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tblGrid>
      <w:tr w:rsidR="000635F8" w14:paraId="26FE4B4A" w14:textId="77777777" w:rsidTr="00E61CAC">
        <w:tc>
          <w:tcPr>
            <w:tcW w:w="4884" w:type="dxa"/>
          </w:tcPr>
          <w:p w14:paraId="6086E4C3" w14:textId="77777777" w:rsidR="00C636D1" w:rsidRPr="00C636D1" w:rsidRDefault="00C636D1" w:rsidP="00C636D1">
            <w:pPr>
              <w:jc w:val="both"/>
              <w:rPr>
                <w:b/>
                <w:bCs/>
                <w:lang w:val="uk-UA"/>
              </w:rPr>
            </w:pPr>
            <w:r w:rsidRPr="00C636D1">
              <w:rPr>
                <w:b/>
                <w:bCs/>
                <w:lang w:val="uk-UA"/>
              </w:rPr>
              <w:t>Міністерство захисту довкілля</w:t>
            </w:r>
          </w:p>
          <w:p w14:paraId="32030926" w14:textId="7AB75D03" w:rsidR="00C636D1" w:rsidRPr="00C636D1" w:rsidRDefault="00C636D1" w:rsidP="00C636D1">
            <w:pPr>
              <w:jc w:val="both"/>
              <w:rPr>
                <w:b/>
                <w:bCs/>
                <w:lang w:val="uk-UA"/>
              </w:rPr>
            </w:pPr>
            <w:r w:rsidRPr="00C636D1">
              <w:rPr>
                <w:b/>
                <w:bCs/>
                <w:lang w:val="uk-UA"/>
              </w:rPr>
              <w:t>та природних ресурсів України</w:t>
            </w:r>
          </w:p>
          <w:p w14:paraId="6778432F" w14:textId="77777777" w:rsidR="00C636D1" w:rsidRPr="00C636D1" w:rsidRDefault="00C636D1" w:rsidP="00C636D1">
            <w:pPr>
              <w:jc w:val="both"/>
              <w:rPr>
                <w:sz w:val="4"/>
                <w:szCs w:val="4"/>
                <w:lang w:val="uk-UA"/>
              </w:rPr>
            </w:pPr>
          </w:p>
          <w:p w14:paraId="1338364B" w14:textId="77777777" w:rsidR="00C636D1" w:rsidRPr="00C636D1" w:rsidRDefault="00C636D1" w:rsidP="00C636D1">
            <w:pPr>
              <w:jc w:val="both"/>
              <w:rPr>
                <w:sz w:val="4"/>
                <w:szCs w:val="4"/>
                <w:lang w:val="uk-UA"/>
              </w:rPr>
            </w:pPr>
          </w:p>
          <w:p w14:paraId="3982B765" w14:textId="6E87844E" w:rsidR="00C636D1" w:rsidRDefault="00C636D1" w:rsidP="00C636D1">
            <w:pPr>
              <w:jc w:val="both"/>
              <w:rPr>
                <w:lang w:val="uk-UA"/>
              </w:rPr>
            </w:pPr>
            <w:r w:rsidRPr="00C636D1">
              <w:rPr>
                <w:lang w:val="uk-UA"/>
              </w:rPr>
              <w:t>Грицак Олені Анатоліївні</w:t>
            </w:r>
          </w:p>
          <w:p w14:paraId="5FEB92DB" w14:textId="77777777" w:rsidR="00C636D1" w:rsidRPr="00C636D1" w:rsidRDefault="00C636D1" w:rsidP="00C636D1">
            <w:pPr>
              <w:jc w:val="both"/>
              <w:rPr>
                <w:sz w:val="4"/>
                <w:szCs w:val="4"/>
                <w:lang w:val="uk-UA"/>
              </w:rPr>
            </w:pPr>
          </w:p>
          <w:p w14:paraId="4AFDCA45" w14:textId="6B6DB266" w:rsidR="00C636D1" w:rsidRDefault="00C636D1" w:rsidP="00C636D1">
            <w:pPr>
              <w:jc w:val="both"/>
              <w:rPr>
                <w:lang w:val="uk-UA"/>
              </w:rPr>
            </w:pPr>
            <w:r w:rsidRPr="00C636D1">
              <w:rPr>
                <w:lang w:val="uk-UA"/>
              </w:rPr>
              <w:t>вул. Митрополита В. Липківського, 35</w:t>
            </w:r>
          </w:p>
          <w:p w14:paraId="6A61E0E6" w14:textId="00A69695" w:rsidR="00C636D1" w:rsidRDefault="00C636D1" w:rsidP="00C636D1">
            <w:pPr>
              <w:jc w:val="both"/>
              <w:rPr>
                <w:lang w:val="uk-UA"/>
              </w:rPr>
            </w:pPr>
            <w:r>
              <w:rPr>
                <w:lang w:val="uk-UA"/>
              </w:rPr>
              <w:t>м. Київ, 03035</w:t>
            </w:r>
          </w:p>
          <w:p w14:paraId="11EB79D8" w14:textId="77777777" w:rsidR="00C636D1" w:rsidRPr="00E92E2C" w:rsidRDefault="00C636D1" w:rsidP="00C636D1">
            <w:pPr>
              <w:jc w:val="both"/>
              <w:rPr>
                <w:sz w:val="4"/>
                <w:szCs w:val="4"/>
                <w:lang w:val="en-US"/>
              </w:rPr>
            </w:pPr>
          </w:p>
          <w:p w14:paraId="691A09FE" w14:textId="0545A27F" w:rsidR="00E61CAC" w:rsidRPr="000635F8" w:rsidRDefault="00C636D1" w:rsidP="00C636D1">
            <w:pPr>
              <w:jc w:val="both"/>
              <w:rPr>
                <w:lang w:val="uk-UA"/>
              </w:rPr>
            </w:pPr>
            <w:r w:rsidRPr="00C636D1">
              <w:rPr>
                <w:lang w:val="uk-UA"/>
              </w:rPr>
              <w:t>електронна адреса: OVD@mepr.gov.ua</w:t>
            </w:r>
          </w:p>
        </w:tc>
      </w:tr>
    </w:tbl>
    <w:p w14:paraId="55B0E908" w14:textId="4407CEA8" w:rsidR="000635F8" w:rsidRDefault="000635F8" w:rsidP="00E61CAC">
      <w:pPr>
        <w:jc w:val="center"/>
      </w:pPr>
    </w:p>
    <w:p w14:paraId="29DFCFE1" w14:textId="77777777" w:rsidR="00074323" w:rsidRPr="00074323" w:rsidRDefault="00074323" w:rsidP="00074323">
      <w:pPr>
        <w:spacing w:line="240" w:lineRule="auto"/>
        <w:jc w:val="center"/>
        <w:rPr>
          <w:rFonts w:eastAsia="Times New Roman"/>
          <w:b/>
          <w:bCs/>
          <w:lang w:val="uk-UA"/>
        </w:rPr>
      </w:pPr>
      <w:r w:rsidRPr="00074323">
        <w:rPr>
          <w:rFonts w:eastAsia="Times New Roman"/>
          <w:b/>
          <w:bCs/>
          <w:lang w:val="uk-UA"/>
        </w:rPr>
        <w:t>Зауваження</w:t>
      </w:r>
    </w:p>
    <w:p w14:paraId="64FF19E7" w14:textId="29919992" w:rsidR="00074323" w:rsidRPr="00074323" w:rsidRDefault="00074323" w:rsidP="00074323">
      <w:pPr>
        <w:spacing w:line="240" w:lineRule="auto"/>
        <w:jc w:val="center"/>
        <w:rPr>
          <w:rFonts w:eastAsia="Times New Roman"/>
          <w:b/>
          <w:bCs/>
          <w:lang w:val="uk-UA"/>
        </w:rPr>
      </w:pPr>
      <w:r w:rsidRPr="00074323">
        <w:rPr>
          <w:rFonts w:eastAsia="Times New Roman"/>
          <w:b/>
          <w:bCs/>
          <w:lang w:val="uk-UA"/>
        </w:rPr>
        <w:t>до Звіту з оцінки впливу на довкілля</w:t>
      </w:r>
    </w:p>
    <w:p w14:paraId="65CE067F" w14:textId="77777777" w:rsidR="00074323" w:rsidRDefault="00074323" w:rsidP="00074323">
      <w:pPr>
        <w:spacing w:line="240" w:lineRule="auto"/>
        <w:jc w:val="center"/>
        <w:rPr>
          <w:rFonts w:eastAsia="Times New Roman"/>
          <w:lang w:val="uk-UA"/>
        </w:rPr>
      </w:pPr>
    </w:p>
    <w:p w14:paraId="20224D44" w14:textId="2BDC1E10" w:rsidR="00074323" w:rsidRPr="00074323" w:rsidRDefault="00074323" w:rsidP="00074323">
      <w:pPr>
        <w:spacing w:line="240" w:lineRule="auto"/>
        <w:jc w:val="center"/>
        <w:rPr>
          <w:rFonts w:eastAsia="Times New Roman"/>
          <w:b/>
          <w:bCs/>
          <w:lang w:val="uk-UA"/>
        </w:rPr>
      </w:pPr>
      <w:r w:rsidRPr="00074323">
        <w:rPr>
          <w:rFonts w:eastAsia="Times New Roman"/>
          <w:b/>
          <w:bCs/>
          <w:lang w:val="uk-UA"/>
        </w:rPr>
        <w:t>щодо промислової розробки ділянок Північна та Південна родовища пісків Східнослов’янське в межах озера Основ’янське на південно-західній околиці м. Харків, що планується ТОВ «РЕЙСІС УКРАЇНА», ідентифікаційний код юридичної особи 42897903 Реєстраційний номер справи про оцінку впливу на довкілля: 8209.</w:t>
      </w:r>
    </w:p>
    <w:p w14:paraId="48377FBF" w14:textId="06A46D9D" w:rsidR="00074323" w:rsidRPr="00074323" w:rsidRDefault="00074323" w:rsidP="00074323">
      <w:pPr>
        <w:spacing w:line="240" w:lineRule="auto"/>
        <w:jc w:val="both"/>
        <w:rPr>
          <w:rFonts w:eastAsia="Times New Roman"/>
          <w:b/>
          <w:bCs/>
          <w:sz w:val="10"/>
          <w:szCs w:val="10"/>
          <w:lang w:val="uk-UA"/>
        </w:rPr>
      </w:pPr>
    </w:p>
    <w:p w14:paraId="65CF80BF" w14:textId="77777777" w:rsidR="00CB2530" w:rsidRDefault="00CB2530" w:rsidP="00074323">
      <w:pPr>
        <w:spacing w:line="240" w:lineRule="auto"/>
        <w:jc w:val="both"/>
        <w:rPr>
          <w:rFonts w:eastAsia="Times New Roman"/>
          <w:lang w:val="uk-UA"/>
        </w:rPr>
      </w:pPr>
    </w:p>
    <w:p w14:paraId="4D419D8A" w14:textId="49232F04" w:rsidR="00074323" w:rsidRDefault="00074323" w:rsidP="00074323">
      <w:pPr>
        <w:spacing w:line="240" w:lineRule="auto"/>
        <w:jc w:val="both"/>
        <w:rPr>
          <w:rFonts w:eastAsia="Times New Roman"/>
          <w:lang w:val="uk-UA"/>
        </w:rPr>
      </w:pPr>
      <w:r w:rsidRPr="00074323">
        <w:rPr>
          <w:rFonts w:eastAsia="Times New Roman"/>
          <w:lang w:val="uk-UA"/>
        </w:rPr>
        <w:t>Планована діяльність передбачає: видобуток алювіальних пісків на території озера Основ’янське загальною площею до 90,7 га на підставі спеціального дозволу на користування надрами № 5499 від 21.04.2023 року. Видобування передбачається здійснювати гідромеханізованим способом із застосуванням плавучого земснаряда, із транспортуванням пульпи на карту намиву. Обсяг запланованого щорічного видобутку складає 104,0 тис. м³. Роботи включають порушення рельєфу дна водойми, створення техногенних майданчиків, використання спецтехніки, тимчасову інфраструктуру для складування та вивезення піску.</w:t>
      </w:r>
    </w:p>
    <w:p w14:paraId="019BC684" w14:textId="77777777" w:rsidR="00074323" w:rsidRPr="00074323" w:rsidRDefault="00074323" w:rsidP="00074323">
      <w:pPr>
        <w:spacing w:line="240" w:lineRule="auto"/>
        <w:jc w:val="both"/>
        <w:rPr>
          <w:rFonts w:eastAsia="Times New Roman"/>
          <w:sz w:val="10"/>
          <w:szCs w:val="10"/>
          <w:lang w:val="uk-UA"/>
        </w:rPr>
      </w:pPr>
    </w:p>
    <w:p w14:paraId="6945A846" w14:textId="77777777" w:rsidR="00074323" w:rsidRPr="00074323" w:rsidRDefault="00074323" w:rsidP="00074323">
      <w:pPr>
        <w:spacing w:line="240" w:lineRule="auto"/>
        <w:jc w:val="both"/>
        <w:rPr>
          <w:rFonts w:eastAsia="Times New Roman"/>
          <w:lang w:val="uk-UA"/>
        </w:rPr>
      </w:pPr>
      <w:r w:rsidRPr="00074323">
        <w:rPr>
          <w:rFonts w:eastAsia="Times New Roman"/>
          <w:lang w:val="uk-UA"/>
        </w:rPr>
        <w:t>Ознайомившись зі звітом з оцінки впливу на довкілля, Міжнародна благодійна організація «Екологія-Право-Людина», відповідно до ч. 2 статті 7 Закону України «Про оцінку впливу на довкілля» № 2059-VIII від 23.05.2017 року (надалі – Закон), надає такі зауваження та пропозиції:</w:t>
      </w:r>
    </w:p>
    <w:p w14:paraId="68BC0786" w14:textId="467A74B4" w:rsidR="00074323" w:rsidRPr="00074323" w:rsidRDefault="00074323" w:rsidP="00074323">
      <w:pPr>
        <w:spacing w:line="240" w:lineRule="auto"/>
        <w:jc w:val="both"/>
        <w:rPr>
          <w:rFonts w:eastAsia="Times New Roman"/>
          <w:sz w:val="10"/>
          <w:szCs w:val="10"/>
          <w:lang w:val="uk-UA"/>
        </w:rPr>
      </w:pPr>
    </w:p>
    <w:p w14:paraId="10797CBE" w14:textId="77777777" w:rsidR="00074323" w:rsidRPr="00074323" w:rsidRDefault="00074323" w:rsidP="00074323">
      <w:pPr>
        <w:spacing w:line="240" w:lineRule="auto"/>
        <w:jc w:val="both"/>
        <w:rPr>
          <w:rFonts w:eastAsia="Times New Roman"/>
          <w:lang w:val="uk-UA"/>
        </w:rPr>
      </w:pPr>
      <w:r w:rsidRPr="00CB2530">
        <w:rPr>
          <w:rFonts w:eastAsia="Times New Roman"/>
          <w:b/>
          <w:bCs/>
          <w:lang w:val="uk-UA"/>
        </w:rPr>
        <w:t>1.</w:t>
      </w:r>
      <w:r w:rsidRPr="00074323">
        <w:rPr>
          <w:rFonts w:eastAsia="Times New Roman"/>
          <w:lang w:val="uk-UA"/>
        </w:rPr>
        <w:t xml:space="preserve"> Відповідно до п. 2 ч. 2 ст. 6 Закону України «Про оцінку впливу на довкілля», звіт з оцінки впливу на довкілля має містити опис виправданих альтернатив планованої діяльності (у тому числі територіальних) з урахуванням екологічних наслідків та пояснення причин вибору конкретного варіанта. </w:t>
      </w:r>
    </w:p>
    <w:p w14:paraId="1FB34F6E" w14:textId="77777777" w:rsidR="00074323" w:rsidRPr="00074323" w:rsidRDefault="00074323" w:rsidP="00074323">
      <w:pPr>
        <w:spacing w:line="240" w:lineRule="auto"/>
        <w:jc w:val="both"/>
        <w:rPr>
          <w:rFonts w:eastAsia="Times New Roman"/>
          <w:sz w:val="10"/>
          <w:szCs w:val="10"/>
          <w:lang w:val="uk-UA"/>
        </w:rPr>
      </w:pPr>
    </w:p>
    <w:p w14:paraId="4ADBF358" w14:textId="77777777" w:rsidR="00074323" w:rsidRDefault="00074323" w:rsidP="00074323">
      <w:pPr>
        <w:spacing w:line="240" w:lineRule="auto"/>
        <w:jc w:val="both"/>
        <w:rPr>
          <w:rFonts w:eastAsia="Times New Roman"/>
          <w:lang w:val="uk-UA"/>
        </w:rPr>
      </w:pPr>
      <w:r w:rsidRPr="00074323">
        <w:rPr>
          <w:rFonts w:eastAsia="Times New Roman"/>
          <w:lang w:val="uk-UA"/>
        </w:rPr>
        <w:t xml:space="preserve">У поданому  Звіті, на сторінці 73 вказано, що територіальні альтернативи не розглядалися, оскільки планована діяльність здійснюється в межах родовища, визначеного спеціальним дозволом на користування надрами № 5499 від 21.04.2023 р. Однак, таке обґрунтування не відповідає вимогам Закону. Закон не передбачає винятків щодо аналізу альтернатив у разі наявності спецдозволу. Навпаки, аналіз альтернатив є обов’язковим елементом звіту, покликаним оцінити, чи обрана ділянка є найменш шкідливою для довкілля порівняно з іншими можливими варіантами. </w:t>
      </w:r>
    </w:p>
    <w:p w14:paraId="48F890E3" w14:textId="77777777" w:rsidR="00074323" w:rsidRPr="00074323" w:rsidRDefault="00074323" w:rsidP="00074323">
      <w:pPr>
        <w:spacing w:line="240" w:lineRule="auto"/>
        <w:jc w:val="both"/>
        <w:rPr>
          <w:rFonts w:eastAsia="Times New Roman"/>
          <w:sz w:val="10"/>
          <w:szCs w:val="10"/>
          <w:lang w:val="uk-UA"/>
        </w:rPr>
      </w:pPr>
    </w:p>
    <w:p w14:paraId="7B893425" w14:textId="73135D8B" w:rsidR="00074323" w:rsidRPr="00074323" w:rsidRDefault="00074323" w:rsidP="00074323">
      <w:pPr>
        <w:spacing w:line="240" w:lineRule="auto"/>
        <w:jc w:val="both"/>
        <w:rPr>
          <w:rFonts w:eastAsia="Times New Roman"/>
          <w:lang w:val="uk-UA"/>
        </w:rPr>
      </w:pPr>
      <w:r w:rsidRPr="00074323">
        <w:rPr>
          <w:rFonts w:eastAsia="Times New Roman"/>
          <w:lang w:val="uk-UA"/>
        </w:rPr>
        <w:t>Спеціальний дозвіл на користування надрами видається без проходження процедури ОВД, а тому не може вважатися доказом оптимальності вибору території планованої діяльності. Таким чином, територіальні альтернативи у Звіті формально згадані, але фактично не розглянуті, що є порушенням змістовних вимог до звіту та обмежує можливість громадськості здійснити повноцінну оцінку обраного варіанту планованої діяльності.</w:t>
      </w:r>
    </w:p>
    <w:p w14:paraId="59A25E1D" w14:textId="77777777" w:rsidR="00074323" w:rsidRPr="00074323" w:rsidRDefault="00074323" w:rsidP="00074323">
      <w:pPr>
        <w:spacing w:line="240" w:lineRule="auto"/>
        <w:jc w:val="both"/>
        <w:rPr>
          <w:rFonts w:eastAsia="Times New Roman"/>
          <w:lang w:val="uk-UA"/>
        </w:rPr>
      </w:pPr>
    </w:p>
    <w:p w14:paraId="450153E1" w14:textId="77777777" w:rsidR="00074323" w:rsidRPr="00074323" w:rsidRDefault="00074323" w:rsidP="00074323">
      <w:pPr>
        <w:spacing w:line="240" w:lineRule="auto"/>
        <w:jc w:val="both"/>
        <w:rPr>
          <w:rFonts w:eastAsia="Times New Roman"/>
          <w:lang w:val="uk-UA"/>
        </w:rPr>
      </w:pPr>
      <w:r w:rsidRPr="00074323">
        <w:rPr>
          <w:rFonts w:eastAsia="Times New Roman"/>
          <w:lang w:val="uk-UA"/>
        </w:rPr>
        <w:t xml:space="preserve"> </w:t>
      </w:r>
    </w:p>
    <w:p w14:paraId="5EFBB44E" w14:textId="77777777" w:rsidR="00074323" w:rsidRPr="00074323" w:rsidRDefault="00074323" w:rsidP="00074323">
      <w:pPr>
        <w:spacing w:line="240" w:lineRule="auto"/>
        <w:jc w:val="both"/>
        <w:rPr>
          <w:rFonts w:eastAsia="Times New Roman"/>
          <w:lang w:val="uk-UA"/>
        </w:rPr>
      </w:pPr>
    </w:p>
    <w:p w14:paraId="33E74410" w14:textId="77777777" w:rsidR="00CB2530" w:rsidRDefault="00074323" w:rsidP="00074323">
      <w:pPr>
        <w:spacing w:line="240" w:lineRule="auto"/>
        <w:jc w:val="both"/>
        <w:rPr>
          <w:rFonts w:eastAsia="Times New Roman"/>
          <w:lang w:val="uk-UA"/>
        </w:rPr>
      </w:pPr>
      <w:r w:rsidRPr="00CB2530">
        <w:rPr>
          <w:rFonts w:eastAsia="Times New Roman"/>
          <w:b/>
          <w:bCs/>
          <w:lang w:val="uk-UA"/>
        </w:rPr>
        <w:lastRenderedPageBreak/>
        <w:t>2.</w:t>
      </w:r>
      <w:r w:rsidRPr="00074323">
        <w:rPr>
          <w:rFonts w:eastAsia="Times New Roman"/>
          <w:lang w:val="uk-UA"/>
        </w:rPr>
        <w:t xml:space="preserve">  У Звіті, на сторінці 150 зазначено, що ширина охоронної зони від контуру запасів пісків до рекреаційної зони становить 25 метрів, і саме така відстань врахована під час підрахунку запасів родовища.</w:t>
      </w:r>
    </w:p>
    <w:p w14:paraId="2F2B8A24" w14:textId="77777777" w:rsidR="00CB2530" w:rsidRDefault="00074323" w:rsidP="00074323">
      <w:pPr>
        <w:spacing w:line="240" w:lineRule="auto"/>
        <w:jc w:val="both"/>
        <w:rPr>
          <w:rFonts w:eastAsia="Times New Roman"/>
          <w:lang w:val="uk-UA"/>
        </w:rPr>
      </w:pPr>
      <w:r w:rsidRPr="00074323">
        <w:rPr>
          <w:rFonts w:eastAsia="Times New Roman"/>
          <w:lang w:val="uk-UA"/>
        </w:rPr>
        <w:t>Водночас, згідно з частиною третьою статті 60 Земельного кодексу України, прибережна захисна смуга навколо озер повинна становити не менше 100 метрів. Зменшення цієї ширини можливе лише за умов, передбачених законом, та за погодженням з уповноваженими органами — таких відомостей у Звіті не наведено.</w:t>
      </w:r>
    </w:p>
    <w:p w14:paraId="11C5A05B" w14:textId="6985055C" w:rsidR="00074323" w:rsidRPr="00074323" w:rsidRDefault="00074323" w:rsidP="00074323">
      <w:pPr>
        <w:spacing w:line="240" w:lineRule="auto"/>
        <w:jc w:val="both"/>
        <w:rPr>
          <w:rFonts w:eastAsia="Times New Roman"/>
          <w:lang w:val="uk-UA"/>
        </w:rPr>
      </w:pPr>
      <w:r w:rsidRPr="00074323">
        <w:rPr>
          <w:rFonts w:eastAsia="Times New Roman"/>
          <w:lang w:val="uk-UA"/>
        </w:rPr>
        <w:t>Таким чином, встановлення ширини охоронної зони на рівні 25 метрів є порушенням земельного законодавства. Крім того, використання цього показника як базового для геолого-економічного обґрунтування запасів піску ставить під сумнів достовірність результатів такого обґрунтування. Це створює ризики порушення водного балансу, деградації прибережних екосистем і перешкод для рекреаційного використання водойми.</w:t>
      </w:r>
    </w:p>
    <w:p w14:paraId="38DB8F07" w14:textId="4916148D" w:rsidR="00074323" w:rsidRPr="00CB2530" w:rsidRDefault="00074323" w:rsidP="00074323">
      <w:pPr>
        <w:spacing w:line="240" w:lineRule="auto"/>
        <w:jc w:val="both"/>
        <w:rPr>
          <w:rFonts w:eastAsia="Times New Roman"/>
          <w:sz w:val="4"/>
          <w:szCs w:val="4"/>
          <w:lang w:val="uk-UA"/>
        </w:rPr>
      </w:pPr>
    </w:p>
    <w:p w14:paraId="0A090B58" w14:textId="77777777" w:rsidR="00CB2530" w:rsidRDefault="00074323" w:rsidP="00074323">
      <w:pPr>
        <w:spacing w:line="240" w:lineRule="auto"/>
        <w:jc w:val="both"/>
        <w:rPr>
          <w:rFonts w:eastAsia="Times New Roman"/>
          <w:lang w:val="uk-UA"/>
        </w:rPr>
      </w:pPr>
      <w:r w:rsidRPr="00CB2530">
        <w:rPr>
          <w:rFonts w:eastAsia="Times New Roman"/>
          <w:b/>
          <w:bCs/>
          <w:lang w:val="uk-UA"/>
        </w:rPr>
        <w:t>3.</w:t>
      </w:r>
      <w:r w:rsidRPr="00074323">
        <w:rPr>
          <w:rFonts w:eastAsia="Times New Roman"/>
          <w:lang w:val="uk-UA"/>
        </w:rPr>
        <w:t xml:space="preserve"> На сторінці 86 Звіту зазначено: «Територія, яку планується задіяти під карту намиву знаходиться в комунальній власності м. Харкова. Право користування земельною ділянкою буде оформлене окремим проектом землеустрою відповідно до ст. 66 Земельного кодексу України». Це свідчить про відсутність на момент подання Звіту чинного права користування, що є критично важливим для законності реалізації планованої діяльності.</w:t>
      </w:r>
    </w:p>
    <w:p w14:paraId="581C11A8" w14:textId="60915C04" w:rsidR="00074323" w:rsidRPr="00074323" w:rsidRDefault="00074323" w:rsidP="00074323">
      <w:pPr>
        <w:spacing w:line="240" w:lineRule="auto"/>
        <w:jc w:val="both"/>
        <w:rPr>
          <w:rFonts w:eastAsia="Times New Roman"/>
          <w:lang w:val="uk-UA"/>
        </w:rPr>
      </w:pPr>
      <w:r w:rsidRPr="00074323">
        <w:rPr>
          <w:rFonts w:eastAsia="Times New Roman"/>
          <w:lang w:val="uk-UA"/>
        </w:rPr>
        <w:t>Водночас у різних розділах документації відсутня узгоджена інформація про правовий статус усіх земельних ділянок, які планується залучити до проекту. Така правова невизначеність унеможливлює перевірку дотримання вимог земельного законодавства.</w:t>
      </w:r>
    </w:p>
    <w:p w14:paraId="47DE3119" w14:textId="77777777" w:rsidR="00074323" w:rsidRPr="00074323" w:rsidRDefault="00074323" w:rsidP="00074323">
      <w:pPr>
        <w:spacing w:line="240" w:lineRule="auto"/>
        <w:jc w:val="both"/>
        <w:rPr>
          <w:rFonts w:eastAsia="Times New Roman"/>
          <w:lang w:val="uk-UA"/>
        </w:rPr>
      </w:pPr>
      <w:r w:rsidRPr="00074323">
        <w:rPr>
          <w:rFonts w:eastAsia="Times New Roman"/>
          <w:lang w:val="uk-UA"/>
        </w:rPr>
        <w:t>На сторінці 166 згадується кадастровий номер 6310138800:12:057:0034, земельна ділянка з лісогосподарським цільовим призначенням. У звіті зазначено, що "лісу на території немає", однак фактична наявність чи відсутність насаджень не змінює цільового призначення земельної ділянки, яке визначається відповідно до державної реєстрації. Згідно з статтею 20 Земельного кодексу України, зміна цільового призначення земель можлива виключно за рішенням органу виконавчої влади або органу місцевого самоврядування, у межах їх повноважень.</w:t>
      </w:r>
    </w:p>
    <w:p w14:paraId="10CFDF75" w14:textId="36D4BE01" w:rsidR="00074323" w:rsidRPr="00CB2530" w:rsidRDefault="00074323" w:rsidP="00074323">
      <w:pPr>
        <w:spacing w:line="240" w:lineRule="auto"/>
        <w:jc w:val="both"/>
        <w:rPr>
          <w:rFonts w:eastAsia="Times New Roman"/>
          <w:sz w:val="4"/>
          <w:szCs w:val="4"/>
          <w:lang w:val="uk-UA"/>
        </w:rPr>
      </w:pPr>
    </w:p>
    <w:p w14:paraId="21B491D3" w14:textId="617656C0" w:rsidR="00074323" w:rsidRPr="00074323" w:rsidRDefault="00074323" w:rsidP="00074323">
      <w:pPr>
        <w:spacing w:line="240" w:lineRule="auto"/>
        <w:jc w:val="both"/>
        <w:rPr>
          <w:rFonts w:eastAsia="Times New Roman"/>
          <w:lang w:val="uk-UA"/>
        </w:rPr>
      </w:pPr>
      <w:r w:rsidRPr="00074323">
        <w:rPr>
          <w:rFonts w:eastAsia="Times New Roman"/>
          <w:lang w:val="uk-UA"/>
        </w:rPr>
        <w:t>У Звіті відсутня будь-яка згадка про проходження процедури зміни цільового призначення або про відповідне погодження від уповноважених органів. Це свідчить про ймовірне порушення вимог законодавства у частині використання земель не за їх цільовим призначенням.</w:t>
      </w:r>
    </w:p>
    <w:p w14:paraId="4B60716E" w14:textId="39935E5B" w:rsidR="00074323" w:rsidRPr="00074323" w:rsidRDefault="00074323" w:rsidP="00074323">
      <w:pPr>
        <w:spacing w:line="240" w:lineRule="auto"/>
        <w:jc w:val="both"/>
        <w:rPr>
          <w:rFonts w:eastAsia="Times New Roman"/>
          <w:lang w:val="uk-UA"/>
        </w:rPr>
      </w:pPr>
      <w:r w:rsidRPr="00074323">
        <w:rPr>
          <w:rFonts w:eastAsia="Times New Roman"/>
          <w:lang w:val="uk-UA"/>
        </w:rPr>
        <w:t>Таким чином, Звіт не містить повної, узгодженої та підтвердженої інформації щодо правового режиму земель, що перешкоджає здійсненню правової оцінки допустимості реалізації планованої діяльності згідно зі статтею 6 Закону України «Про оцінку впливу на довкілля».</w:t>
      </w:r>
    </w:p>
    <w:p w14:paraId="4DEC7322" w14:textId="77777777" w:rsidR="00074323" w:rsidRPr="00CB2530" w:rsidRDefault="00074323" w:rsidP="00074323">
      <w:pPr>
        <w:spacing w:line="240" w:lineRule="auto"/>
        <w:jc w:val="both"/>
        <w:rPr>
          <w:rFonts w:eastAsia="Times New Roman"/>
          <w:sz w:val="4"/>
          <w:szCs w:val="4"/>
          <w:lang w:val="uk-UA"/>
        </w:rPr>
      </w:pPr>
    </w:p>
    <w:p w14:paraId="0309C7F5" w14:textId="77777777" w:rsidR="00074323" w:rsidRPr="00074323" w:rsidRDefault="00074323" w:rsidP="00074323">
      <w:pPr>
        <w:spacing w:line="240" w:lineRule="auto"/>
        <w:jc w:val="both"/>
        <w:rPr>
          <w:rFonts w:eastAsia="Times New Roman"/>
          <w:lang w:val="uk-UA"/>
        </w:rPr>
      </w:pPr>
      <w:r w:rsidRPr="00CB2530">
        <w:rPr>
          <w:rFonts w:eastAsia="Times New Roman"/>
          <w:b/>
          <w:bCs/>
          <w:lang w:val="uk-UA"/>
        </w:rPr>
        <w:t>4.</w:t>
      </w:r>
      <w:r w:rsidRPr="00074323">
        <w:rPr>
          <w:rFonts w:eastAsia="Times New Roman"/>
          <w:lang w:val="uk-UA"/>
        </w:rPr>
        <w:t xml:space="preserve"> У пункті 3.10 Звіту з ОВД, на сторінці 151 зазначено, «Поблизу північної частини ліцензійної площі родовища, а також частково у її межах, розташована рекреаційна зона – пляж (на окремих картах-гідропарк). Ширина охоронної зони від контуру запасів пісків до рекреаційної зони, що урахована під час підрахунку запасів пісків родовища, становить 25 м. Тобто, суміжні з пляжними зонами гідропарку ділянки відроблятимуться з відступом в 25 м (охоронна рекреаційна зона) в осінньо-зимовий період, не створюючи дискомфорту для відпочиваючих.</w:t>
      </w:r>
    </w:p>
    <w:p w14:paraId="2948A4FF" w14:textId="77777777" w:rsidR="00074323" w:rsidRPr="00CB2530" w:rsidRDefault="00074323" w:rsidP="00074323">
      <w:pPr>
        <w:spacing w:line="240" w:lineRule="auto"/>
        <w:jc w:val="both"/>
        <w:rPr>
          <w:rFonts w:eastAsia="Times New Roman"/>
          <w:sz w:val="4"/>
          <w:szCs w:val="4"/>
          <w:lang w:val="uk-UA"/>
        </w:rPr>
      </w:pPr>
    </w:p>
    <w:p w14:paraId="16CCDC73" w14:textId="47C8E583" w:rsidR="00074323" w:rsidRPr="00074323" w:rsidRDefault="00074323" w:rsidP="00074323">
      <w:pPr>
        <w:spacing w:line="240" w:lineRule="auto"/>
        <w:jc w:val="both"/>
        <w:rPr>
          <w:rFonts w:eastAsia="Times New Roman"/>
          <w:lang w:val="uk-UA"/>
        </w:rPr>
      </w:pPr>
      <w:r w:rsidRPr="00074323">
        <w:rPr>
          <w:rFonts w:eastAsia="Times New Roman"/>
          <w:lang w:val="uk-UA"/>
        </w:rPr>
        <w:t>Це твердження є необґрунтованим і суперечливим, оскільки розміщення карти намиву та здійснення землерийних і транспортних робіт у безпосередній близькості до зон пляжного відпочинку неминуче обмежить або унеможливить їх використання, принаймні в частині прилеглих територій. Ствердження про відсутність впливу не підтверджене ані об’єктивною оцінкою ризиків для безпеки відпочиваючих, ані розрахунками зон шумового, пилового чи візуального впливу.</w:t>
      </w:r>
    </w:p>
    <w:p w14:paraId="4C31DAA7" w14:textId="77777777" w:rsidR="00074323" w:rsidRPr="00074323" w:rsidRDefault="00074323" w:rsidP="00074323">
      <w:pPr>
        <w:spacing w:line="240" w:lineRule="auto"/>
        <w:jc w:val="both"/>
        <w:rPr>
          <w:rFonts w:eastAsia="Times New Roman"/>
          <w:lang w:val="uk-UA"/>
        </w:rPr>
      </w:pPr>
      <w:r w:rsidRPr="00CB2530">
        <w:rPr>
          <w:rFonts w:eastAsia="Times New Roman"/>
          <w:b/>
          <w:bCs/>
          <w:lang w:val="uk-UA"/>
        </w:rPr>
        <w:t>5.</w:t>
      </w:r>
      <w:r w:rsidRPr="00074323">
        <w:rPr>
          <w:rFonts w:eastAsia="Times New Roman"/>
          <w:lang w:val="uk-UA"/>
        </w:rPr>
        <w:t xml:space="preserve"> В звіті озеро розглядається як існуючий </w:t>
      </w:r>
      <w:proofErr w:type="spellStart"/>
      <w:r w:rsidRPr="00074323">
        <w:rPr>
          <w:rFonts w:eastAsia="Times New Roman"/>
          <w:lang w:val="uk-UA"/>
        </w:rPr>
        <w:t>карʼєр</w:t>
      </w:r>
      <w:proofErr w:type="spellEnd"/>
      <w:r w:rsidRPr="00074323">
        <w:rPr>
          <w:rFonts w:eastAsia="Times New Roman"/>
          <w:lang w:val="uk-UA"/>
        </w:rPr>
        <w:t xml:space="preserve">. Однак, попри те що озеро має штучне походження, за роки його існування з початку минулого століття воно поступово набуло природних </w:t>
      </w:r>
      <w:proofErr w:type="spellStart"/>
      <w:r w:rsidRPr="00074323">
        <w:rPr>
          <w:rFonts w:eastAsia="Times New Roman"/>
          <w:lang w:val="uk-UA"/>
        </w:rPr>
        <w:t>екосистемних</w:t>
      </w:r>
      <w:proofErr w:type="spellEnd"/>
      <w:r w:rsidRPr="00074323">
        <w:rPr>
          <w:rFonts w:eastAsia="Times New Roman"/>
          <w:lang w:val="uk-UA"/>
        </w:rPr>
        <w:t xml:space="preserve"> станів та стало місцем зростання та існування флори і фауни різних видів. Діяльність з видобутку піску та створення </w:t>
      </w:r>
      <w:proofErr w:type="spellStart"/>
      <w:r w:rsidRPr="00074323">
        <w:rPr>
          <w:rFonts w:eastAsia="Times New Roman"/>
          <w:lang w:val="uk-UA"/>
        </w:rPr>
        <w:t>карʼєру</w:t>
      </w:r>
      <w:proofErr w:type="spellEnd"/>
      <w:r w:rsidRPr="00074323">
        <w:rPr>
          <w:rFonts w:eastAsia="Times New Roman"/>
          <w:lang w:val="uk-UA"/>
        </w:rPr>
        <w:t xml:space="preserve"> призведе до знищення екосистеми озера та прилеглого лісу, замулення води та можливого забруднення вод через поховані у донних </w:t>
      </w:r>
      <w:proofErr w:type="spellStart"/>
      <w:r w:rsidRPr="00074323">
        <w:rPr>
          <w:rFonts w:eastAsia="Times New Roman"/>
          <w:lang w:val="uk-UA"/>
        </w:rPr>
        <w:t>відкладеннях</w:t>
      </w:r>
      <w:proofErr w:type="spellEnd"/>
      <w:r w:rsidRPr="00074323">
        <w:rPr>
          <w:rFonts w:eastAsia="Times New Roman"/>
          <w:lang w:val="uk-UA"/>
        </w:rPr>
        <w:t xml:space="preserve"> речовини. Також озеро набуло соціальної значимості для населення, яке проживає навколо озера. </w:t>
      </w:r>
    </w:p>
    <w:p w14:paraId="2F9E1F52" w14:textId="77777777" w:rsidR="00074323" w:rsidRPr="00074323" w:rsidRDefault="00074323" w:rsidP="00074323">
      <w:pPr>
        <w:spacing w:line="240" w:lineRule="auto"/>
        <w:jc w:val="both"/>
        <w:rPr>
          <w:rFonts w:eastAsia="Times New Roman"/>
          <w:lang w:val="uk-UA"/>
        </w:rPr>
      </w:pPr>
    </w:p>
    <w:p w14:paraId="602460C8" w14:textId="77777777" w:rsidR="00074323" w:rsidRPr="00074323" w:rsidRDefault="00074323" w:rsidP="00074323">
      <w:pPr>
        <w:spacing w:line="240" w:lineRule="auto"/>
        <w:jc w:val="both"/>
        <w:rPr>
          <w:rFonts w:eastAsia="Times New Roman"/>
          <w:lang w:val="uk-UA"/>
        </w:rPr>
      </w:pPr>
      <w:r w:rsidRPr="00074323">
        <w:rPr>
          <w:rFonts w:eastAsia="Times New Roman"/>
          <w:lang w:val="uk-UA"/>
        </w:rPr>
        <w:t xml:space="preserve"> </w:t>
      </w:r>
    </w:p>
    <w:p w14:paraId="6EA1CA3F" w14:textId="77777777" w:rsidR="00074323" w:rsidRPr="00074323" w:rsidRDefault="00074323" w:rsidP="00074323">
      <w:pPr>
        <w:spacing w:line="240" w:lineRule="auto"/>
        <w:jc w:val="both"/>
        <w:rPr>
          <w:rFonts w:eastAsia="Times New Roman"/>
          <w:lang w:val="uk-UA"/>
        </w:rPr>
      </w:pPr>
    </w:p>
    <w:p w14:paraId="4FD8BAD0" w14:textId="77777777" w:rsidR="00074323" w:rsidRPr="00074323" w:rsidRDefault="00074323" w:rsidP="00074323">
      <w:pPr>
        <w:spacing w:line="240" w:lineRule="auto"/>
        <w:jc w:val="both"/>
        <w:rPr>
          <w:rFonts w:eastAsia="Times New Roman"/>
          <w:lang w:val="uk-UA"/>
        </w:rPr>
      </w:pPr>
      <w:r w:rsidRPr="00074323">
        <w:rPr>
          <w:rFonts w:eastAsia="Times New Roman"/>
          <w:lang w:val="uk-UA"/>
        </w:rPr>
        <w:t xml:space="preserve"> </w:t>
      </w:r>
    </w:p>
    <w:p w14:paraId="48839501" w14:textId="77777777" w:rsidR="00074323" w:rsidRPr="00074323" w:rsidRDefault="00074323" w:rsidP="00074323">
      <w:pPr>
        <w:spacing w:line="240" w:lineRule="auto"/>
        <w:jc w:val="both"/>
        <w:rPr>
          <w:rFonts w:eastAsia="Times New Roman"/>
          <w:lang w:val="uk-UA"/>
        </w:rPr>
      </w:pPr>
    </w:p>
    <w:p w14:paraId="08085BE4" w14:textId="43B9ED4E" w:rsidR="00CB2530" w:rsidRPr="00074323" w:rsidRDefault="00074323" w:rsidP="00074323">
      <w:pPr>
        <w:spacing w:line="240" w:lineRule="auto"/>
        <w:jc w:val="both"/>
        <w:rPr>
          <w:rFonts w:eastAsia="Times New Roman"/>
          <w:lang w:val="uk-UA"/>
        </w:rPr>
      </w:pPr>
      <w:r w:rsidRPr="00CB2530">
        <w:rPr>
          <w:rFonts w:eastAsia="Times New Roman"/>
          <w:b/>
          <w:bCs/>
          <w:lang w:val="uk-UA"/>
        </w:rPr>
        <w:lastRenderedPageBreak/>
        <w:t>6.</w:t>
      </w:r>
      <w:r w:rsidRPr="00074323">
        <w:rPr>
          <w:rFonts w:eastAsia="Times New Roman"/>
          <w:lang w:val="uk-UA"/>
        </w:rPr>
        <w:t xml:space="preserve"> В звіті частково використано картографічні матеріали минулого століття, які не відповідають дійсній ситуації. Однак на них чітко видно існування озера до збільшення його площі за рахунок видобутку піску, що може вказувати на те, що це розширення природної водойми.</w:t>
      </w:r>
    </w:p>
    <w:p w14:paraId="33C5EE37" w14:textId="79A47383" w:rsidR="00CB2530" w:rsidRDefault="00074323" w:rsidP="00074323">
      <w:pPr>
        <w:spacing w:line="240" w:lineRule="auto"/>
        <w:jc w:val="both"/>
        <w:rPr>
          <w:rFonts w:eastAsia="Times New Roman"/>
          <w:lang w:val="uk-UA"/>
        </w:rPr>
      </w:pPr>
      <w:r w:rsidRPr="00CB2530">
        <w:rPr>
          <w:rFonts w:eastAsia="Times New Roman"/>
          <w:b/>
          <w:bCs/>
          <w:lang w:val="uk-UA"/>
        </w:rPr>
        <w:t>7.</w:t>
      </w:r>
      <w:r w:rsidRPr="00074323">
        <w:rPr>
          <w:rFonts w:eastAsia="Times New Roman"/>
          <w:lang w:val="uk-UA"/>
        </w:rPr>
        <w:t xml:space="preserve"> Опис місця провадження планованої діяльності висвітлює виключно геологічні особливості території, однак не враховано всі компоненти природних екосистем, зокрема щодо самого водного </w:t>
      </w:r>
      <w:proofErr w:type="spellStart"/>
      <w:r w:rsidRPr="00074323">
        <w:rPr>
          <w:rFonts w:eastAsia="Times New Roman"/>
          <w:lang w:val="uk-UA"/>
        </w:rPr>
        <w:t>обʼєкта</w:t>
      </w:r>
      <w:proofErr w:type="spellEnd"/>
      <w:r w:rsidRPr="00074323">
        <w:rPr>
          <w:rFonts w:eastAsia="Times New Roman"/>
          <w:lang w:val="uk-UA"/>
        </w:rPr>
        <w:t xml:space="preserve"> та його </w:t>
      </w:r>
      <w:proofErr w:type="spellStart"/>
      <w:r w:rsidRPr="00074323">
        <w:rPr>
          <w:rFonts w:eastAsia="Times New Roman"/>
          <w:lang w:val="uk-UA"/>
        </w:rPr>
        <w:t>біоірзноманіття</w:t>
      </w:r>
      <w:proofErr w:type="spellEnd"/>
      <w:r w:rsidRPr="00074323">
        <w:rPr>
          <w:rFonts w:eastAsia="Times New Roman"/>
          <w:lang w:val="uk-UA"/>
        </w:rPr>
        <w:t xml:space="preserve">.  </w:t>
      </w:r>
    </w:p>
    <w:p w14:paraId="34F0607A" w14:textId="77777777" w:rsidR="00CB2530" w:rsidRPr="00CB2530" w:rsidRDefault="00CB2530" w:rsidP="00074323">
      <w:pPr>
        <w:spacing w:line="240" w:lineRule="auto"/>
        <w:jc w:val="both"/>
        <w:rPr>
          <w:rFonts w:eastAsia="Times New Roman"/>
          <w:sz w:val="4"/>
          <w:szCs w:val="4"/>
          <w:lang w:val="uk-UA"/>
        </w:rPr>
      </w:pPr>
    </w:p>
    <w:p w14:paraId="487989B3" w14:textId="77777777" w:rsidR="00CB2530" w:rsidRDefault="00074323" w:rsidP="00074323">
      <w:pPr>
        <w:spacing w:line="240" w:lineRule="auto"/>
        <w:jc w:val="both"/>
        <w:rPr>
          <w:rFonts w:eastAsia="Times New Roman"/>
          <w:lang w:val="uk-UA"/>
        </w:rPr>
      </w:pPr>
      <w:r w:rsidRPr="00CB2530">
        <w:rPr>
          <w:rFonts w:eastAsia="Times New Roman"/>
          <w:b/>
          <w:bCs/>
          <w:lang w:val="uk-UA"/>
        </w:rPr>
        <w:t>8.</w:t>
      </w:r>
      <w:r w:rsidRPr="00074323">
        <w:rPr>
          <w:rFonts w:eastAsia="Times New Roman"/>
          <w:lang w:val="uk-UA"/>
        </w:rPr>
        <w:t xml:space="preserve"> Подана інформація про вплив на екосистеми не враховує впливу інфраструктурних </w:t>
      </w:r>
      <w:proofErr w:type="spellStart"/>
      <w:r w:rsidRPr="00074323">
        <w:rPr>
          <w:rFonts w:eastAsia="Times New Roman"/>
          <w:lang w:val="uk-UA"/>
        </w:rPr>
        <w:t>обʼєктів</w:t>
      </w:r>
      <w:proofErr w:type="spellEnd"/>
      <w:r w:rsidRPr="00074323">
        <w:rPr>
          <w:rFonts w:eastAsia="Times New Roman"/>
          <w:lang w:val="uk-UA"/>
        </w:rPr>
        <w:t xml:space="preserve"> які будуть забезпечувати діяльність </w:t>
      </w:r>
      <w:proofErr w:type="spellStart"/>
      <w:r w:rsidRPr="00074323">
        <w:rPr>
          <w:rFonts w:eastAsia="Times New Roman"/>
          <w:lang w:val="uk-UA"/>
        </w:rPr>
        <w:t>карʼєру</w:t>
      </w:r>
      <w:proofErr w:type="spellEnd"/>
      <w:r w:rsidRPr="00074323">
        <w:rPr>
          <w:rFonts w:eastAsia="Times New Roman"/>
          <w:lang w:val="uk-UA"/>
        </w:rPr>
        <w:t>: доріг та промислових майданчиків, карт намиву.</w:t>
      </w:r>
    </w:p>
    <w:p w14:paraId="687EA74A" w14:textId="2FA783D7" w:rsidR="00074323" w:rsidRPr="00CB2530" w:rsidRDefault="00074323" w:rsidP="00074323">
      <w:pPr>
        <w:spacing w:line="240" w:lineRule="auto"/>
        <w:jc w:val="both"/>
        <w:rPr>
          <w:rFonts w:eastAsia="Times New Roman"/>
          <w:sz w:val="4"/>
          <w:szCs w:val="4"/>
          <w:lang w:val="uk-UA"/>
        </w:rPr>
      </w:pPr>
      <w:r w:rsidRPr="00074323">
        <w:rPr>
          <w:rFonts w:eastAsia="Times New Roman"/>
          <w:lang w:val="uk-UA"/>
        </w:rPr>
        <w:t xml:space="preserve">  </w:t>
      </w:r>
    </w:p>
    <w:p w14:paraId="5DE4BA11" w14:textId="77777777" w:rsidR="00074323" w:rsidRPr="00074323" w:rsidRDefault="00074323" w:rsidP="00074323">
      <w:pPr>
        <w:spacing w:line="240" w:lineRule="auto"/>
        <w:jc w:val="both"/>
        <w:rPr>
          <w:rFonts w:eastAsia="Times New Roman"/>
          <w:lang w:val="uk-UA"/>
        </w:rPr>
      </w:pPr>
      <w:r w:rsidRPr="00CB2530">
        <w:rPr>
          <w:rFonts w:eastAsia="Times New Roman"/>
          <w:b/>
          <w:bCs/>
          <w:lang w:val="uk-UA"/>
        </w:rPr>
        <w:t>9.</w:t>
      </w:r>
      <w:r w:rsidRPr="00074323">
        <w:rPr>
          <w:rFonts w:eastAsia="Times New Roman"/>
          <w:lang w:val="uk-UA"/>
        </w:rPr>
        <w:t xml:space="preserve"> В описі поточного стану довкілля використано інформацію про Харківську область, місто Харків та весь </w:t>
      </w:r>
      <w:proofErr w:type="spellStart"/>
      <w:r w:rsidRPr="00074323">
        <w:rPr>
          <w:rFonts w:eastAsia="Times New Roman"/>
          <w:lang w:val="uk-UA"/>
        </w:rPr>
        <w:t>Основʼянський</w:t>
      </w:r>
      <w:proofErr w:type="spellEnd"/>
      <w:r w:rsidRPr="00074323">
        <w:rPr>
          <w:rFonts w:eastAsia="Times New Roman"/>
          <w:lang w:val="uk-UA"/>
        </w:rPr>
        <w:t xml:space="preserve"> район, однак не наведено детальну інформацію про територію планованої діяльності. </w:t>
      </w:r>
    </w:p>
    <w:p w14:paraId="5A7E14BC" w14:textId="4D850A53" w:rsidR="00074323" w:rsidRPr="00074323" w:rsidRDefault="00074323" w:rsidP="00074323">
      <w:pPr>
        <w:spacing w:line="240" w:lineRule="auto"/>
        <w:jc w:val="both"/>
        <w:rPr>
          <w:rFonts w:eastAsia="Times New Roman"/>
          <w:lang w:val="uk-UA"/>
        </w:rPr>
      </w:pPr>
      <w:r w:rsidRPr="00CB2530">
        <w:rPr>
          <w:rFonts w:eastAsia="Times New Roman"/>
          <w:b/>
          <w:bCs/>
          <w:lang w:val="uk-UA"/>
        </w:rPr>
        <w:t>10.</w:t>
      </w:r>
      <w:r w:rsidRPr="00074323">
        <w:rPr>
          <w:rFonts w:eastAsia="Times New Roman"/>
          <w:lang w:val="uk-UA"/>
        </w:rPr>
        <w:t xml:space="preserve"> У підрозділі 3.2 Звіту щодо актуального стану водних ресурсів, наведено інформацію про Харківську область та місто Харків. Основʼянському озеру присвячена лише окрема частина, однак, замість озера, зокрема, вживається слово водосховище. </w:t>
      </w:r>
    </w:p>
    <w:p w14:paraId="7923A1DB" w14:textId="373C89E0" w:rsidR="00074323" w:rsidRPr="00074323" w:rsidRDefault="00074323" w:rsidP="00074323">
      <w:pPr>
        <w:spacing w:line="240" w:lineRule="auto"/>
        <w:jc w:val="both"/>
        <w:rPr>
          <w:rFonts w:eastAsia="Times New Roman"/>
          <w:lang w:val="uk-UA"/>
        </w:rPr>
      </w:pPr>
      <w:r w:rsidRPr="00CB2530">
        <w:rPr>
          <w:rFonts w:eastAsia="Times New Roman"/>
          <w:b/>
          <w:bCs/>
          <w:lang w:val="uk-UA"/>
        </w:rPr>
        <w:t>11.</w:t>
      </w:r>
      <w:r w:rsidRPr="00074323">
        <w:rPr>
          <w:rFonts w:eastAsia="Times New Roman"/>
          <w:lang w:val="uk-UA"/>
        </w:rPr>
        <w:t xml:space="preserve"> У підрозділі 3.3 Звіту розробниками наведено нерозуміння понять </w:t>
      </w:r>
      <w:r w:rsidR="00CB2530" w:rsidRPr="00074323">
        <w:rPr>
          <w:rFonts w:eastAsia="Times New Roman"/>
          <w:lang w:val="uk-UA"/>
        </w:rPr>
        <w:t>ґрунти</w:t>
      </w:r>
      <w:r w:rsidRPr="00074323">
        <w:rPr>
          <w:rFonts w:eastAsia="Times New Roman"/>
          <w:lang w:val="uk-UA"/>
        </w:rPr>
        <w:t xml:space="preserve"> та земельні ресурси. Інформацію щодо </w:t>
      </w:r>
      <w:r w:rsidR="00CB2530" w:rsidRPr="00074323">
        <w:rPr>
          <w:rFonts w:eastAsia="Times New Roman"/>
          <w:lang w:val="uk-UA"/>
        </w:rPr>
        <w:t>ґрунтового</w:t>
      </w:r>
      <w:r w:rsidRPr="00074323">
        <w:rPr>
          <w:rFonts w:eastAsia="Times New Roman"/>
          <w:lang w:val="uk-UA"/>
        </w:rPr>
        <w:t xml:space="preserve"> покриву території планованої діяльності не подано, наведена інформація загальна для Харківської області. Замість </w:t>
      </w:r>
      <w:r w:rsidR="00CB2530" w:rsidRPr="00074323">
        <w:rPr>
          <w:rFonts w:eastAsia="Times New Roman"/>
          <w:lang w:val="uk-UA"/>
        </w:rPr>
        <w:t>ґрунтового</w:t>
      </w:r>
      <w:r w:rsidRPr="00074323">
        <w:rPr>
          <w:rFonts w:eastAsia="Times New Roman"/>
          <w:lang w:val="uk-UA"/>
        </w:rPr>
        <w:t xml:space="preserve"> покриву проаналізовано статус земельної ділянки. </w:t>
      </w:r>
    </w:p>
    <w:p w14:paraId="767756B5" w14:textId="72885779" w:rsidR="00074323" w:rsidRPr="00074323" w:rsidRDefault="00074323" w:rsidP="00074323">
      <w:pPr>
        <w:spacing w:line="240" w:lineRule="auto"/>
        <w:jc w:val="both"/>
        <w:rPr>
          <w:rFonts w:eastAsia="Times New Roman"/>
          <w:lang w:val="uk-UA"/>
        </w:rPr>
      </w:pPr>
      <w:r w:rsidRPr="00CB2530">
        <w:rPr>
          <w:rFonts w:eastAsia="Times New Roman"/>
          <w:b/>
          <w:bCs/>
          <w:lang w:val="uk-UA"/>
        </w:rPr>
        <w:t>12.</w:t>
      </w:r>
      <w:r w:rsidRPr="00074323">
        <w:rPr>
          <w:rFonts w:eastAsia="Times New Roman"/>
          <w:lang w:val="uk-UA"/>
        </w:rPr>
        <w:t xml:space="preserve"> У підрозділі  3.4 Звіту зазначено що на території проектованої діяльності зростає вид, занесений до Червоної книги України – сон лучний. В Звіті зазначено необхідність його переміщення. Просимо зауважити, що, відповідно до Закону України «Про Червону книгу України» такі дії потребують відповідного дозволу Комісії з Червоної книги України, за відсутності такого дозволу, буде знищено рідкісний вид, що є порушенням чинного законодавства України. Також в підрозділі наведено дані щодо всієї території Харківської області, на нашу думку, матеріали звіту мають бути сконцентровані на території проектованої діяльності. </w:t>
      </w:r>
    </w:p>
    <w:p w14:paraId="33A6A7BD" w14:textId="0024623F" w:rsidR="00074323" w:rsidRPr="00074323" w:rsidRDefault="00074323" w:rsidP="00074323">
      <w:pPr>
        <w:spacing w:line="240" w:lineRule="auto"/>
        <w:jc w:val="both"/>
        <w:rPr>
          <w:rFonts w:eastAsia="Times New Roman"/>
          <w:lang w:val="uk-UA"/>
        </w:rPr>
      </w:pPr>
      <w:r w:rsidRPr="00CB2530">
        <w:rPr>
          <w:rFonts w:eastAsia="Times New Roman"/>
          <w:b/>
          <w:bCs/>
          <w:lang w:val="uk-UA"/>
        </w:rPr>
        <w:t>13.</w:t>
      </w:r>
      <w:r w:rsidRPr="00074323">
        <w:rPr>
          <w:rFonts w:eastAsia="Times New Roman"/>
          <w:lang w:val="uk-UA"/>
        </w:rPr>
        <w:t xml:space="preserve"> У підрозділі 3.5 Звіту про тваринний світ розробники Звіту суперечать самі собі, наводячи дані про представників тваринного світу, про необхідність їх збереження, але водночас про діяльність, яка унеможливить перебування диких видів тварин на території планованої діяльності. Зокрема зазначено про наявність видів птахів, занесених до Червоної книги України на території планованої діяльності, і водночас дані щодо застосування відлякувачів птахів під час проведення видобувної діяльності, що є свідченням порушення їхнього середовища існування. Також в звіті зазначено, що «ТОВ «РЕЙСІС УКРАЇНА» також вживатиме заходів з охорони об'єктів тваринного світу та їх середовищ існування визначених Конвенцією про охорону дикої флори та фауни і</w:t>
      </w:r>
      <w:r w:rsidR="00CB2530">
        <w:rPr>
          <w:rFonts w:eastAsia="Times New Roman"/>
          <w:lang w:val="uk-UA"/>
        </w:rPr>
        <w:t xml:space="preserve"> </w:t>
      </w:r>
      <w:r w:rsidRPr="00074323">
        <w:rPr>
          <w:rFonts w:eastAsia="Times New Roman"/>
          <w:lang w:val="uk-UA"/>
        </w:rPr>
        <w:t xml:space="preserve">природних середовищ існування в Європі та Конвенцією про охорону біологічного різноманіття». Просимо надати інформацію яким саме чином, будуть збережені такі середовища існування шляхом зведення </w:t>
      </w:r>
      <w:proofErr w:type="spellStart"/>
      <w:r w:rsidRPr="00074323">
        <w:rPr>
          <w:rFonts w:eastAsia="Times New Roman"/>
          <w:lang w:val="uk-UA"/>
        </w:rPr>
        <w:t>карʼєру</w:t>
      </w:r>
      <w:proofErr w:type="spellEnd"/>
      <w:r w:rsidRPr="00074323">
        <w:rPr>
          <w:rFonts w:eastAsia="Times New Roman"/>
          <w:lang w:val="uk-UA"/>
        </w:rPr>
        <w:t xml:space="preserve">. В Звіті розробниками зазначено, що «Під час реалізації планової діяльності необхідно вжити заходів із мінімізації прямого та опосередкованого впливу на ці організми. Оскільки, територія пов’язана із міграцією, тимчасовим або постійним перебуванням 72 видів птахів, то згідно із частиною п'ятою статті 39 Закону України «Про тваринний світ» потрібно дотримуватися правил «сезону тиші». Просимо надати дані яким саме чином буде мінімізований прямий та опосередкований вплив в разі знищення місць існування цих птахів та розробки </w:t>
      </w:r>
      <w:proofErr w:type="spellStart"/>
      <w:r w:rsidRPr="00074323">
        <w:rPr>
          <w:rFonts w:eastAsia="Times New Roman"/>
          <w:lang w:val="uk-UA"/>
        </w:rPr>
        <w:t>карʼєру</w:t>
      </w:r>
      <w:proofErr w:type="spellEnd"/>
      <w:r w:rsidRPr="00074323">
        <w:rPr>
          <w:rFonts w:eastAsia="Times New Roman"/>
          <w:lang w:val="uk-UA"/>
        </w:rPr>
        <w:t xml:space="preserve">. </w:t>
      </w:r>
    </w:p>
    <w:p w14:paraId="67E068BA" w14:textId="348A704E" w:rsidR="00074323" w:rsidRPr="00074323" w:rsidRDefault="00074323" w:rsidP="00074323">
      <w:pPr>
        <w:spacing w:line="240" w:lineRule="auto"/>
        <w:jc w:val="both"/>
        <w:rPr>
          <w:rFonts w:eastAsia="Times New Roman"/>
          <w:lang w:val="uk-UA"/>
        </w:rPr>
      </w:pPr>
      <w:r w:rsidRPr="00074323">
        <w:rPr>
          <w:rFonts w:eastAsia="Times New Roman"/>
          <w:lang w:val="uk-UA"/>
        </w:rPr>
        <w:t>Також в Звіті зазначено, що «Як свідчить практика, найбільш ефективними способам збереження видів природної</w:t>
      </w:r>
      <w:r w:rsidR="00CB2530">
        <w:rPr>
          <w:rFonts w:eastAsia="Times New Roman"/>
          <w:lang w:val="uk-UA"/>
        </w:rPr>
        <w:t xml:space="preserve"> </w:t>
      </w:r>
      <w:r w:rsidRPr="00074323">
        <w:rPr>
          <w:rFonts w:eastAsia="Times New Roman"/>
          <w:lang w:val="uk-UA"/>
        </w:rPr>
        <w:t xml:space="preserve">фауни, флори і локальних популяцій є організація у місцях їх зростання заповідників, заказників та інших категорій об’єктів природно-заповідного фонду, широка просвітницька робота, введення системи заохочень». В такому разі просимо погодити створення заповідної території на місці розробки </w:t>
      </w:r>
      <w:proofErr w:type="spellStart"/>
      <w:r w:rsidRPr="00074323">
        <w:rPr>
          <w:rFonts w:eastAsia="Times New Roman"/>
          <w:lang w:val="uk-UA"/>
        </w:rPr>
        <w:t>карʼєру</w:t>
      </w:r>
      <w:proofErr w:type="spellEnd"/>
      <w:r w:rsidRPr="00074323">
        <w:rPr>
          <w:rFonts w:eastAsia="Times New Roman"/>
          <w:lang w:val="uk-UA"/>
        </w:rPr>
        <w:t xml:space="preserve"> щоб вберегти середовище існування рідкісних видів та місце важливе для збереження біорізноманіття. </w:t>
      </w:r>
    </w:p>
    <w:p w14:paraId="4CB77182" w14:textId="77777777" w:rsidR="00CB2530" w:rsidRDefault="00CB2530" w:rsidP="00923F8B">
      <w:pPr>
        <w:spacing w:line="240" w:lineRule="auto"/>
        <w:jc w:val="both"/>
        <w:rPr>
          <w:rFonts w:eastAsia="Times New Roman"/>
          <w:lang w:val="uk-UA"/>
        </w:rPr>
      </w:pPr>
    </w:p>
    <w:p w14:paraId="044BF7AE" w14:textId="7A4F3BD6" w:rsidR="00CB2530" w:rsidRDefault="00074323" w:rsidP="00923F8B">
      <w:pPr>
        <w:spacing w:line="240" w:lineRule="auto"/>
        <w:jc w:val="both"/>
        <w:rPr>
          <w:rFonts w:eastAsia="Times New Roman"/>
          <w:lang w:val="uk-UA"/>
        </w:rPr>
      </w:pPr>
      <w:r w:rsidRPr="00074323">
        <w:rPr>
          <w:rFonts w:eastAsia="Times New Roman"/>
          <w:lang w:val="uk-UA"/>
        </w:rPr>
        <w:t>Просимо врахувати надані зауваження та пропозиції при опрацюванні матеріалів громадських слухань та прийнятті рішень щодо видачі висновку з оцінки впливу на довкілля</w:t>
      </w:r>
      <w:r w:rsidR="00CB2530">
        <w:rPr>
          <w:rFonts w:eastAsia="Times New Roman"/>
          <w:lang w:val="uk-UA"/>
        </w:rPr>
        <w:t>.</w:t>
      </w:r>
    </w:p>
    <w:p w14:paraId="483D7F73" w14:textId="77777777" w:rsidR="00CB2530" w:rsidRDefault="00CB2530" w:rsidP="00923F8B">
      <w:pPr>
        <w:spacing w:line="240" w:lineRule="auto"/>
        <w:jc w:val="both"/>
        <w:rPr>
          <w:rFonts w:eastAsia="Times New Roman"/>
          <w:lang w:val="uk-UA"/>
        </w:rPr>
      </w:pPr>
    </w:p>
    <w:p w14:paraId="79501CD2" w14:textId="77777777" w:rsidR="00923F8B" w:rsidRPr="00923F8B" w:rsidRDefault="00923F8B" w:rsidP="00923F8B">
      <w:pPr>
        <w:spacing w:line="240" w:lineRule="auto"/>
        <w:jc w:val="both"/>
        <w:rPr>
          <w:rFonts w:eastAsia="Times New Roman"/>
          <w:b/>
          <w:bCs/>
          <w:lang w:val="uk-UA"/>
        </w:rPr>
      </w:pPr>
    </w:p>
    <w:p w14:paraId="2905D90A" w14:textId="5D7C0170" w:rsidR="00923F8B" w:rsidRPr="00923F8B" w:rsidRDefault="00923F8B" w:rsidP="00923F8B">
      <w:pPr>
        <w:spacing w:line="240" w:lineRule="auto"/>
        <w:jc w:val="both"/>
        <w:rPr>
          <w:rFonts w:eastAsia="Times New Roman"/>
          <w:b/>
          <w:bCs/>
          <w:lang w:val="uk-UA"/>
        </w:rPr>
      </w:pPr>
      <w:r w:rsidRPr="00923F8B">
        <w:rPr>
          <w:rFonts w:eastAsia="Times New Roman"/>
          <w:b/>
          <w:bCs/>
          <w:lang w:val="uk-UA"/>
        </w:rPr>
        <w:t>З повагою</w:t>
      </w:r>
    </w:p>
    <w:p w14:paraId="60641AC4" w14:textId="77777777" w:rsidR="00923F8B" w:rsidRPr="00923F8B" w:rsidRDefault="00923F8B" w:rsidP="00923F8B">
      <w:pPr>
        <w:spacing w:line="240" w:lineRule="auto"/>
        <w:jc w:val="both"/>
        <w:rPr>
          <w:rFonts w:eastAsia="Times New Roman"/>
          <w:b/>
          <w:bCs/>
          <w:lang w:val="uk-UA"/>
        </w:rPr>
      </w:pPr>
      <w:r w:rsidRPr="00923F8B">
        <w:rPr>
          <w:rFonts w:eastAsia="Times New Roman"/>
          <w:b/>
          <w:bCs/>
          <w:lang w:val="uk-UA"/>
        </w:rPr>
        <w:t>виконавчий директор</w:t>
      </w:r>
    </w:p>
    <w:p w14:paraId="5E8C1E59" w14:textId="28ADFCAD" w:rsidR="00923F8B" w:rsidRDefault="00923F8B" w:rsidP="00923F8B">
      <w:pPr>
        <w:spacing w:line="240" w:lineRule="auto"/>
        <w:jc w:val="both"/>
        <w:rPr>
          <w:rFonts w:eastAsia="Times New Roman"/>
          <w:b/>
          <w:bCs/>
          <w:lang w:val="uk-UA"/>
        </w:rPr>
      </w:pPr>
      <w:r w:rsidRPr="00923F8B">
        <w:rPr>
          <w:rFonts w:eastAsia="Times New Roman"/>
          <w:b/>
          <w:bCs/>
          <w:lang w:val="uk-UA"/>
        </w:rPr>
        <w:t>МБО «Екологія</w:t>
      </w:r>
      <w:r>
        <w:rPr>
          <w:rFonts w:eastAsia="Times New Roman"/>
          <w:b/>
          <w:bCs/>
          <w:lang w:val="uk-UA"/>
        </w:rPr>
        <w:t xml:space="preserve"> - </w:t>
      </w:r>
      <w:r w:rsidRPr="00923F8B">
        <w:rPr>
          <w:rFonts w:eastAsia="Times New Roman"/>
          <w:b/>
          <w:bCs/>
          <w:lang w:val="uk-UA"/>
        </w:rPr>
        <w:t xml:space="preserve">Право </w:t>
      </w:r>
      <w:r>
        <w:rPr>
          <w:rFonts w:eastAsia="Times New Roman"/>
          <w:b/>
          <w:bCs/>
          <w:lang w:val="uk-UA"/>
        </w:rPr>
        <w:t xml:space="preserve">- </w:t>
      </w:r>
      <w:r w:rsidRPr="00923F8B">
        <w:rPr>
          <w:rFonts w:eastAsia="Times New Roman"/>
          <w:b/>
          <w:bCs/>
          <w:lang w:val="uk-UA"/>
        </w:rPr>
        <w:t>Людина»                                                                Олена Кравченко</w:t>
      </w:r>
    </w:p>
    <w:p w14:paraId="35C32FD9" w14:textId="1C0F57C0" w:rsidR="00923F8B" w:rsidRDefault="00923F8B" w:rsidP="00923F8B">
      <w:pPr>
        <w:spacing w:line="240" w:lineRule="auto"/>
        <w:jc w:val="both"/>
        <w:rPr>
          <w:rFonts w:eastAsia="Times New Roman"/>
          <w:b/>
          <w:bCs/>
          <w:lang w:val="uk-UA"/>
        </w:rPr>
      </w:pPr>
    </w:p>
    <w:p w14:paraId="13A611E8" w14:textId="6509AAC0" w:rsidR="00923F8B" w:rsidRDefault="00923F8B" w:rsidP="00923F8B">
      <w:pPr>
        <w:spacing w:line="240" w:lineRule="auto"/>
        <w:jc w:val="both"/>
        <w:rPr>
          <w:rFonts w:eastAsia="Times New Roman"/>
          <w:b/>
          <w:bCs/>
          <w:lang w:val="uk-UA"/>
        </w:rPr>
      </w:pPr>
    </w:p>
    <w:p w14:paraId="3EE86DCD" w14:textId="408E54C2" w:rsidR="00923F8B" w:rsidRPr="00923F8B" w:rsidRDefault="00923F8B" w:rsidP="00923F8B">
      <w:pPr>
        <w:spacing w:line="240" w:lineRule="auto"/>
        <w:jc w:val="both"/>
        <w:rPr>
          <w:rFonts w:eastAsia="Times New Roman"/>
          <w:sz w:val="16"/>
          <w:szCs w:val="16"/>
          <w:lang w:val="uk-UA"/>
        </w:rPr>
      </w:pPr>
      <w:r w:rsidRPr="00923F8B">
        <w:rPr>
          <w:rFonts w:eastAsia="Times New Roman"/>
          <w:sz w:val="16"/>
          <w:szCs w:val="16"/>
          <w:lang w:val="uk-UA"/>
        </w:rPr>
        <w:t>Виконавці:</w:t>
      </w:r>
    </w:p>
    <w:p w14:paraId="2F567F74" w14:textId="24644AFA" w:rsidR="00923F8B" w:rsidRPr="00923F8B" w:rsidRDefault="00923F8B" w:rsidP="00923F8B">
      <w:pPr>
        <w:spacing w:line="240" w:lineRule="auto"/>
        <w:jc w:val="both"/>
        <w:rPr>
          <w:rFonts w:eastAsia="Times New Roman"/>
          <w:sz w:val="16"/>
          <w:szCs w:val="16"/>
          <w:lang w:val="uk-UA"/>
        </w:rPr>
      </w:pPr>
    </w:p>
    <w:p w14:paraId="369D1763" w14:textId="43F71529" w:rsidR="00923F8B" w:rsidRPr="00923F8B" w:rsidRDefault="00923F8B" w:rsidP="00923F8B">
      <w:pPr>
        <w:spacing w:line="240" w:lineRule="auto"/>
        <w:jc w:val="both"/>
        <w:rPr>
          <w:rFonts w:eastAsia="Times New Roman"/>
          <w:sz w:val="16"/>
          <w:szCs w:val="16"/>
          <w:lang w:val="uk-UA"/>
        </w:rPr>
      </w:pPr>
      <w:r w:rsidRPr="00923F8B">
        <w:rPr>
          <w:rFonts w:eastAsia="Times New Roman"/>
          <w:sz w:val="16"/>
          <w:szCs w:val="16"/>
          <w:lang w:val="uk-UA"/>
        </w:rPr>
        <w:t>К. Полянська</w:t>
      </w:r>
    </w:p>
    <w:p w14:paraId="78F395EA" w14:textId="25EEEF9F" w:rsidR="00923F8B" w:rsidRPr="00923F8B" w:rsidRDefault="00923F8B" w:rsidP="00923F8B">
      <w:pPr>
        <w:spacing w:line="240" w:lineRule="auto"/>
        <w:jc w:val="both"/>
        <w:rPr>
          <w:rFonts w:eastAsia="Times New Roman"/>
          <w:sz w:val="16"/>
          <w:szCs w:val="16"/>
          <w:lang w:val="uk-UA"/>
        </w:rPr>
      </w:pPr>
      <w:r w:rsidRPr="00923F8B">
        <w:rPr>
          <w:rFonts w:eastAsia="Times New Roman"/>
          <w:sz w:val="16"/>
          <w:szCs w:val="16"/>
          <w:lang w:val="uk-UA"/>
        </w:rPr>
        <w:t>Ю. Францішкевич-Вирста</w:t>
      </w:r>
    </w:p>
    <w:sectPr w:rsidR="00923F8B" w:rsidRPr="00923F8B" w:rsidSect="00CB2530">
      <w:pgSz w:w="11909" w:h="16834"/>
      <w:pgMar w:top="900" w:right="929"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008D0"/>
    <w:multiLevelType w:val="multilevel"/>
    <w:tmpl w:val="8C34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56683"/>
    <w:multiLevelType w:val="multilevel"/>
    <w:tmpl w:val="1C80D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B139F"/>
    <w:multiLevelType w:val="multilevel"/>
    <w:tmpl w:val="C3CAC3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F3637A"/>
    <w:multiLevelType w:val="multilevel"/>
    <w:tmpl w:val="2EBEA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DC2525"/>
    <w:multiLevelType w:val="multilevel"/>
    <w:tmpl w:val="47E44C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5F56DE"/>
    <w:multiLevelType w:val="multilevel"/>
    <w:tmpl w:val="9184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D32B9"/>
    <w:multiLevelType w:val="multilevel"/>
    <w:tmpl w:val="51CE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CDD"/>
    <w:rsid w:val="000635F8"/>
    <w:rsid w:val="00074323"/>
    <w:rsid w:val="00075514"/>
    <w:rsid w:val="00092CDD"/>
    <w:rsid w:val="00155154"/>
    <w:rsid w:val="00155623"/>
    <w:rsid w:val="00171C5C"/>
    <w:rsid w:val="003A2F81"/>
    <w:rsid w:val="00425567"/>
    <w:rsid w:val="004E5CE9"/>
    <w:rsid w:val="005C0B05"/>
    <w:rsid w:val="006559EC"/>
    <w:rsid w:val="006A2A69"/>
    <w:rsid w:val="006E056B"/>
    <w:rsid w:val="00726179"/>
    <w:rsid w:val="00763CDA"/>
    <w:rsid w:val="007E4917"/>
    <w:rsid w:val="00841593"/>
    <w:rsid w:val="00892B22"/>
    <w:rsid w:val="008B05F3"/>
    <w:rsid w:val="00923F8B"/>
    <w:rsid w:val="009475C5"/>
    <w:rsid w:val="009D2E77"/>
    <w:rsid w:val="00A247AF"/>
    <w:rsid w:val="00A85726"/>
    <w:rsid w:val="00AE682B"/>
    <w:rsid w:val="00AF4EAB"/>
    <w:rsid w:val="00AF743F"/>
    <w:rsid w:val="00B70AD0"/>
    <w:rsid w:val="00B87470"/>
    <w:rsid w:val="00BC6761"/>
    <w:rsid w:val="00C636D1"/>
    <w:rsid w:val="00CB2530"/>
    <w:rsid w:val="00DD6EEB"/>
    <w:rsid w:val="00E61CAC"/>
    <w:rsid w:val="00E92E2C"/>
    <w:rsid w:val="00F025BB"/>
    <w:rsid w:val="00F90575"/>
    <w:rsid w:val="00FC4847"/>
    <w:rsid w:val="00FE2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0B66"/>
  <w15:docId w15:val="{F71B6694-7B3B-47A4-AD36-D917904D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styleId="a5">
    <w:name w:val="Table Grid"/>
    <w:basedOn w:val="a1"/>
    <w:uiPriority w:val="39"/>
    <w:rsid w:val="000635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E61CAC"/>
    <w:rPr>
      <w:color w:val="0000FF" w:themeColor="hyperlink"/>
      <w:u w:val="single"/>
    </w:rPr>
  </w:style>
  <w:style w:type="character" w:styleId="a7">
    <w:name w:val="Unresolved Mention"/>
    <w:basedOn w:val="a0"/>
    <w:uiPriority w:val="99"/>
    <w:semiHidden/>
    <w:unhideWhenUsed/>
    <w:rsid w:val="00E61CAC"/>
    <w:rPr>
      <w:color w:val="605E5C"/>
      <w:shd w:val="clear" w:color="auto" w:fill="E1DFDD"/>
    </w:rPr>
  </w:style>
  <w:style w:type="character" w:styleId="a8">
    <w:name w:val="Strong"/>
    <w:basedOn w:val="a0"/>
    <w:uiPriority w:val="22"/>
    <w:qFormat/>
    <w:rsid w:val="00AF74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417270">
      <w:bodyDiv w:val="1"/>
      <w:marLeft w:val="0"/>
      <w:marRight w:val="0"/>
      <w:marTop w:val="0"/>
      <w:marBottom w:val="0"/>
      <w:divBdr>
        <w:top w:val="none" w:sz="0" w:space="0" w:color="auto"/>
        <w:left w:val="none" w:sz="0" w:space="0" w:color="auto"/>
        <w:bottom w:val="none" w:sz="0" w:space="0" w:color="auto"/>
        <w:right w:val="none" w:sz="0" w:space="0" w:color="auto"/>
      </w:divBdr>
    </w:div>
    <w:div w:id="1171750289">
      <w:bodyDiv w:val="1"/>
      <w:marLeft w:val="0"/>
      <w:marRight w:val="0"/>
      <w:marTop w:val="0"/>
      <w:marBottom w:val="0"/>
      <w:divBdr>
        <w:top w:val="none" w:sz="0" w:space="0" w:color="auto"/>
        <w:left w:val="none" w:sz="0" w:space="0" w:color="auto"/>
        <w:bottom w:val="none" w:sz="0" w:space="0" w:color="auto"/>
        <w:right w:val="none" w:sz="0" w:space="0" w:color="auto"/>
      </w:divBdr>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sChild>
        <w:div w:id="976646833">
          <w:marLeft w:val="0"/>
          <w:marRight w:val="0"/>
          <w:marTop w:val="0"/>
          <w:marBottom w:val="0"/>
          <w:divBdr>
            <w:top w:val="none" w:sz="0" w:space="0" w:color="auto"/>
            <w:left w:val="none" w:sz="0" w:space="0" w:color="auto"/>
            <w:bottom w:val="none" w:sz="0" w:space="0" w:color="auto"/>
            <w:right w:val="none" w:sz="0" w:space="0" w:color="auto"/>
          </w:divBdr>
          <w:divsChild>
            <w:div w:id="2044091922">
              <w:marLeft w:val="0"/>
              <w:marRight w:val="0"/>
              <w:marTop w:val="0"/>
              <w:marBottom w:val="0"/>
              <w:divBdr>
                <w:top w:val="none" w:sz="0" w:space="0" w:color="auto"/>
                <w:left w:val="none" w:sz="0" w:space="0" w:color="auto"/>
                <w:bottom w:val="none" w:sz="0" w:space="0" w:color="auto"/>
                <w:right w:val="none" w:sz="0" w:space="0" w:color="auto"/>
              </w:divBdr>
            </w:div>
            <w:div w:id="241184451">
              <w:marLeft w:val="300"/>
              <w:marRight w:val="0"/>
              <w:marTop w:val="0"/>
              <w:marBottom w:val="0"/>
              <w:divBdr>
                <w:top w:val="none" w:sz="0" w:space="0" w:color="auto"/>
                <w:left w:val="none" w:sz="0" w:space="0" w:color="auto"/>
                <w:bottom w:val="none" w:sz="0" w:space="0" w:color="auto"/>
                <w:right w:val="none" w:sz="0" w:space="0" w:color="auto"/>
              </w:divBdr>
            </w:div>
            <w:div w:id="330446523">
              <w:marLeft w:val="300"/>
              <w:marRight w:val="0"/>
              <w:marTop w:val="0"/>
              <w:marBottom w:val="0"/>
              <w:divBdr>
                <w:top w:val="none" w:sz="0" w:space="0" w:color="auto"/>
                <w:left w:val="none" w:sz="0" w:space="0" w:color="auto"/>
                <w:bottom w:val="none" w:sz="0" w:space="0" w:color="auto"/>
                <w:right w:val="none" w:sz="0" w:space="0" w:color="auto"/>
              </w:divBdr>
            </w:div>
            <w:div w:id="898396317">
              <w:marLeft w:val="300"/>
              <w:marRight w:val="0"/>
              <w:marTop w:val="0"/>
              <w:marBottom w:val="0"/>
              <w:divBdr>
                <w:top w:val="none" w:sz="0" w:space="0" w:color="auto"/>
                <w:left w:val="none" w:sz="0" w:space="0" w:color="auto"/>
                <w:bottom w:val="none" w:sz="0" w:space="0" w:color="auto"/>
                <w:right w:val="none" w:sz="0" w:space="0" w:color="auto"/>
              </w:divBdr>
            </w:div>
            <w:div w:id="1352142659">
              <w:marLeft w:val="0"/>
              <w:marRight w:val="0"/>
              <w:marTop w:val="0"/>
              <w:marBottom w:val="0"/>
              <w:divBdr>
                <w:top w:val="none" w:sz="0" w:space="0" w:color="auto"/>
                <w:left w:val="none" w:sz="0" w:space="0" w:color="auto"/>
                <w:bottom w:val="none" w:sz="0" w:space="0" w:color="auto"/>
                <w:right w:val="none" w:sz="0" w:space="0" w:color="auto"/>
              </w:divBdr>
            </w:div>
            <w:div w:id="337805243">
              <w:marLeft w:val="60"/>
              <w:marRight w:val="0"/>
              <w:marTop w:val="0"/>
              <w:marBottom w:val="0"/>
              <w:divBdr>
                <w:top w:val="none" w:sz="0" w:space="0" w:color="auto"/>
                <w:left w:val="none" w:sz="0" w:space="0" w:color="auto"/>
                <w:bottom w:val="none" w:sz="0" w:space="0" w:color="auto"/>
                <w:right w:val="none" w:sz="0" w:space="0" w:color="auto"/>
              </w:divBdr>
            </w:div>
          </w:divsChild>
        </w:div>
        <w:div w:id="111755625">
          <w:marLeft w:val="0"/>
          <w:marRight w:val="0"/>
          <w:marTop w:val="0"/>
          <w:marBottom w:val="0"/>
          <w:divBdr>
            <w:top w:val="none" w:sz="0" w:space="0" w:color="auto"/>
            <w:left w:val="none" w:sz="0" w:space="0" w:color="auto"/>
            <w:bottom w:val="none" w:sz="0" w:space="0" w:color="auto"/>
            <w:right w:val="none" w:sz="0" w:space="0" w:color="auto"/>
          </w:divBdr>
          <w:divsChild>
            <w:div w:id="568032111">
              <w:marLeft w:val="0"/>
              <w:marRight w:val="0"/>
              <w:marTop w:val="120"/>
              <w:marBottom w:val="0"/>
              <w:divBdr>
                <w:top w:val="none" w:sz="0" w:space="0" w:color="auto"/>
                <w:left w:val="none" w:sz="0" w:space="0" w:color="auto"/>
                <w:bottom w:val="none" w:sz="0" w:space="0" w:color="auto"/>
                <w:right w:val="none" w:sz="0" w:space="0" w:color="auto"/>
              </w:divBdr>
              <w:divsChild>
                <w:div w:id="1269699282">
                  <w:marLeft w:val="0"/>
                  <w:marRight w:val="0"/>
                  <w:marTop w:val="0"/>
                  <w:marBottom w:val="0"/>
                  <w:divBdr>
                    <w:top w:val="none" w:sz="0" w:space="0" w:color="auto"/>
                    <w:left w:val="none" w:sz="0" w:space="0" w:color="auto"/>
                    <w:bottom w:val="none" w:sz="0" w:space="0" w:color="auto"/>
                    <w:right w:val="none" w:sz="0" w:space="0" w:color="auto"/>
                  </w:divBdr>
                  <w:divsChild>
                    <w:div w:id="183716037">
                      <w:marLeft w:val="0"/>
                      <w:marRight w:val="0"/>
                      <w:marTop w:val="0"/>
                      <w:marBottom w:val="0"/>
                      <w:divBdr>
                        <w:top w:val="none" w:sz="0" w:space="0" w:color="auto"/>
                        <w:left w:val="none" w:sz="0" w:space="0" w:color="auto"/>
                        <w:bottom w:val="none" w:sz="0" w:space="0" w:color="auto"/>
                        <w:right w:val="none" w:sz="0" w:space="0" w:color="auto"/>
                      </w:divBdr>
                      <w:divsChild>
                        <w:div w:id="7309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3569">
      <w:bodyDiv w:val="1"/>
      <w:marLeft w:val="0"/>
      <w:marRight w:val="0"/>
      <w:marTop w:val="0"/>
      <w:marBottom w:val="0"/>
      <w:divBdr>
        <w:top w:val="none" w:sz="0" w:space="0" w:color="auto"/>
        <w:left w:val="none" w:sz="0" w:space="0" w:color="auto"/>
        <w:bottom w:val="none" w:sz="0" w:space="0" w:color="auto"/>
        <w:right w:val="none" w:sz="0" w:space="0" w:color="auto"/>
      </w:divBdr>
    </w:div>
    <w:div w:id="1903247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1674</Words>
  <Characters>9546</Characters>
  <Application>Microsoft Office Word</Application>
  <DocSecurity>0</DocSecurity>
  <Lines>79</Lines>
  <Paragraphs>22</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admin.uf</dc:creator>
  <cp:lastModifiedBy>admin.uf</cp:lastModifiedBy>
  <cp:revision>2</cp:revision>
  <dcterms:created xsi:type="dcterms:W3CDTF">2025-05-23T10:53:00Z</dcterms:created>
  <dcterms:modified xsi:type="dcterms:W3CDTF">2025-05-23T10:53:00Z</dcterms:modified>
</cp:coreProperties>
</file>