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Програма тренінгу для суддів: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«Шкода довкіллю від російської агресії: роль судової гілки влади”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Офлайн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 червня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16.0" w:type="dxa"/>
        <w:jc w:val="left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240"/>
        <w:gridCol w:w="5040"/>
        <w:gridCol w:w="82"/>
        <w:gridCol w:w="5954"/>
        <w:tblGridChange w:id="0">
          <w:tblGrid>
            <w:gridCol w:w="2240"/>
            <w:gridCol w:w="5040"/>
            <w:gridCol w:w="82"/>
            <w:gridCol w:w="5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9:30–9:45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Реєстрація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9:45–10:00 </w:t>
            </w:r>
          </w:p>
        </w:tc>
        <w:tc>
          <w:tcPr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Відкриття тренінгу.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6767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31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Оксана Польна, директорка Львівського регіонального відділення НСШУ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31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Ольга Мелень-Забрамна, керівник юридичного відділу МБО “Екологія-Право-Людина”,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10:00–10:20 </w:t>
            </w:r>
          </w:p>
        </w:tc>
        <w:tc>
          <w:tcPr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I. Впливи воєнних дій на природні екосистеми: типологія та приоритизація.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Катерина Полянська, еколог МБО “Екологія-Право-Людина”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10:20–10:50</w:t>
            </w:r>
          </w:p>
        </w:tc>
        <w:tc>
          <w:tcPr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2. Правові шляхи відшкодування шкоди, що завдає росія довкліллю України: національний та міжнародний аспекти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Ольга Мелень-Забрамна, МБО “Екологія-Право-Людина”, керівник юридичного відділу, адвокат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Марта Панькевич, МБО “Екологія-Право-Людина”, експерт ЕПЛ, адвокат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10:50–11:00 </w:t>
            </w:r>
          </w:p>
        </w:tc>
        <w:tc>
          <w:tcPr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3. Виклики кримінально-правової кваліфікації завдання шкоди довкіллю внаслідок воєнних дій через призму судової практики в Україні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Соломія Баран, юрисконсульт МБО “Екологія-Право-Людина”, адвокат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11:00–11:30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Кавова перерва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11:30 – 12:20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Практичний блок 5. Перспективи відшкодування шкоди довкіллю в національних судах:  виклики та шляхи подолання.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Мозковий штурм щодо ролі національних судів поза кримінальною юрисдикцією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Труднощі для позивачів та процесуальні обмеження судів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Модератор: Марта Панькевич, юрисконсульт МБО “Екологія – Право – Людина”, адвокат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7" w:val="single"/>
              <w:bottom w:color="000000" w:space="0" w:sz="5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12:20–13:00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6" w:val="single"/>
              <w:bottom w:color="000000" w:space="0" w:sz="5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Підбиття підсумків, завершення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</w:rPr>
        <w:drawing>
          <wp:inline distB="114300" distT="114300" distL="114300" distR="114300">
            <wp:extent cx="5191314" cy="100894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314" cy="1008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Матеріал підготовлено за підтримки Міжнародного фонду «Відродження». Матеріал представляє позицію авторів і не обов’язково відображає позицію Міжнародного фонду «Відродження».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Міжнародний фонд  «Відродження» – одна з найбільших благодійних фундацій в Україні, що з 1990-го року допомагає розвивати в Україні відкрите суспільство на основі демократичних цінностей. За час своєї діяльності Фонд підтримав близько 20 тисяч проектів на суму понад 350 мільйонів доларів США.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Сайт: www.irf.ua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Facebook: www.fb.com/irf.ukraine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C4qO9FKN4dpbTchtk6YHAeJvw==">CgMxLjA4AHIhMTFFZjJ1U0t4UV9DNElMVk9QZ0tsbUxfdEZ0OHR2RmxN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